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rPr>
      </w:pPr>
      <w:r>
        <w:rPr>
          <w:rFonts w:ascii="黑体" w:hAnsi="黑体" w:eastAsia="黑体"/>
          <w:sz w:val="32"/>
          <w:szCs w:val="32"/>
        </w:rPr>
        <mc:AlternateContent>
          <mc:Choice Requires="wps">
            <w:drawing>
              <wp:anchor distT="0" distB="0" distL="114300" distR="114300" simplePos="0" relativeHeight="251667456" behindDoc="0" locked="0" layoutInCell="1" allowOverlap="1">
                <wp:simplePos x="0" y="0"/>
                <wp:positionH relativeFrom="column">
                  <wp:posOffset>-323850</wp:posOffset>
                </wp:positionH>
                <wp:positionV relativeFrom="paragraph">
                  <wp:posOffset>0</wp:posOffset>
                </wp:positionV>
                <wp:extent cx="266700" cy="5745480"/>
                <wp:effectExtent l="7620" t="7620" r="11430" b="19050"/>
                <wp:wrapNone/>
                <wp:docPr id="93" name="文本框 93"/>
                <wp:cNvGraphicFramePr/>
                <a:graphic xmlns:a="http://schemas.openxmlformats.org/drawingml/2006/main">
                  <a:graphicData uri="http://schemas.microsoft.com/office/word/2010/wordprocessingShape">
                    <wps:wsp>
                      <wps:cNvSpPr txBox="1"/>
                      <wps:spPr>
                        <a:xfrm>
                          <a:off x="0" y="0"/>
                          <a:ext cx="266700" cy="574548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pPr>
                              <w:spacing w:line="340" w:lineRule="exact"/>
                              <w:ind w:firstLine="280" w:firstLineChars="100"/>
                            </w:pPr>
                            <w:r>
                              <w:rPr>
                                <w:rStyle w:val="7"/>
                                <w:rFonts w:hint="eastAsia"/>
                                <w:sz w:val="28"/>
                                <w:szCs w:val="28"/>
                              </w:rPr>
                              <w:t xml:space="preserve">— </w:t>
                            </w:r>
                            <w:r>
                              <w:rPr>
                                <w:rFonts w:hint="eastAsia"/>
                                <w:sz w:val="28"/>
                                <w:szCs w:val="28"/>
                              </w:rPr>
                              <w:t>32</w:t>
                            </w:r>
                            <w:r>
                              <w:rPr>
                                <w:rStyle w:val="7"/>
                                <w:rFonts w:hint="eastAsia"/>
                                <w:sz w:val="28"/>
                                <w:szCs w:val="28"/>
                              </w:rPr>
                              <w:t xml:space="preserve"> —  </w:t>
                            </w:r>
                          </w:p>
                        </w:txbxContent>
                      </wps:txbx>
                      <wps:bodyPr vert="eaVert" lIns="0" tIns="0" rIns="0" bIns="0" upright="1"/>
                    </wps:wsp>
                  </a:graphicData>
                </a:graphic>
              </wp:anchor>
            </w:drawing>
          </mc:Choice>
          <mc:Fallback>
            <w:pict>
              <v:shape id="_x0000_s1026" o:spid="_x0000_s1026" o:spt="202" type="#_x0000_t202" style="position:absolute;left:0pt;margin-left:-25.5pt;margin-top:0pt;height:452.4pt;width:21pt;z-index:251667456;mso-width-relative:page;mso-height-relative:page;" fillcolor="#FFFFFF" filled="t" stroked="t" coordsize="21600,21600" o:gfxdata="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vJxiq2AAA&#10;AAcBAAAPAAAAAAAAAAEAIAAAACIAAABkcnMvZG93bnJldi54bWxQSwECFAAUAAAACACHTuJA1l3/&#10;81cCAADyBAAADgAAAAAAAAABACAAAAAnAQAAZHJzL2Uyb0RvYy54bWxQSwUGAAAAAAYABgBZAQAA&#10;8AUAAAAA&#10;">
                <v:path/>
                <v:fill type="gradient" on="t" angle="90" focussize="0f,0f">
                  <o:fill type="gradientUnscaled" v:ext="backwardCompatible"/>
                </v:fill>
                <v:stroke weight="1.25pt" color="#FFFFFF"/>
                <v:imagedata o:title=""/>
                <o:lock v:ext="edit"/>
                <v:textbox inset="0mm,0mm,0mm,0mm" style="layout-flow:vertical-ideographic;">
                  <w:txbxContent>
                    <w:p>
                      <w:pPr>
                        <w:spacing w:line="340" w:lineRule="exact"/>
                        <w:ind w:firstLine="280" w:firstLineChars="100"/>
                      </w:pPr>
                      <w:r>
                        <w:rPr>
                          <w:rStyle w:val="7"/>
                          <w:rFonts w:hint="eastAsia"/>
                          <w:sz w:val="28"/>
                          <w:szCs w:val="28"/>
                        </w:rPr>
                        <w:t xml:space="preserve">— </w:t>
                      </w:r>
                      <w:r>
                        <w:rPr>
                          <w:rFonts w:hint="eastAsia"/>
                          <w:sz w:val="28"/>
                          <w:szCs w:val="28"/>
                        </w:rPr>
                        <w:t>32</w:t>
                      </w:r>
                      <w:r>
                        <w:rPr>
                          <w:rStyle w:val="7"/>
                          <w:rFonts w:hint="eastAsia"/>
                          <w:sz w:val="28"/>
                          <w:szCs w:val="28"/>
                        </w:rPr>
                        <w:t xml:space="preserve"> —  </w:t>
                      </w:r>
                    </w:p>
                  </w:txbxContent>
                </v:textbox>
              </v:shape>
            </w:pict>
          </mc:Fallback>
        </mc:AlternateContent>
      </w:r>
      <w:r>
        <w:rPr>
          <w:rFonts w:ascii="黑体" w:hAnsi="黑体" w:eastAsia="黑体"/>
          <w:sz w:val="32"/>
          <w:szCs w:val="32"/>
        </w:rPr>
        <w:t>附件</w:t>
      </w:r>
      <w:r>
        <w:rPr>
          <w:rFonts w:hint="eastAsia" w:ascii="黑体" w:hAnsi="黑体" w:eastAsia="黑体"/>
          <w:sz w:val="32"/>
          <w:szCs w:val="32"/>
        </w:rPr>
        <w:t>6</w:t>
      </w:r>
    </w:p>
    <w:p>
      <w:pPr>
        <w:ind w:left="106" w:firstLine="800"/>
        <w:jc w:val="center"/>
        <w:rPr>
          <w:rFonts w:eastAsia="方正小标宋简体"/>
          <w:sz w:val="44"/>
          <w:szCs w:val="44"/>
        </w:rPr>
      </w:pPr>
      <w:r>
        <w:rPr>
          <w:rFonts w:eastAsia="方正小标宋简体"/>
          <w:sz w:val="44"/>
          <w:szCs w:val="44"/>
        </w:rPr>
        <w:t>市突发环境事件应急保障一览表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4"/>
        <w:gridCol w:w="12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444" w:type="dxa"/>
            <w:noWrap w:val="0"/>
            <w:vAlign w:val="center"/>
          </w:tcPr>
          <w:p>
            <w:pPr>
              <w:jc w:val="center"/>
              <w:rPr>
                <w:rFonts w:hint="eastAsia" w:ascii="黑体" w:hAnsi="黑体" w:eastAsia="黑体"/>
                <w:sz w:val="24"/>
              </w:rPr>
            </w:pPr>
            <w:r>
              <w:rPr>
                <w:rFonts w:hint="eastAsia" w:ascii="黑体" w:hAnsi="黑体" w:eastAsia="黑体"/>
                <w:sz w:val="24"/>
              </w:rPr>
              <w:t>保障项目</w:t>
            </w:r>
          </w:p>
        </w:tc>
        <w:tc>
          <w:tcPr>
            <w:tcW w:w="12173" w:type="dxa"/>
            <w:noWrap w:val="0"/>
            <w:vAlign w:val="center"/>
          </w:tcPr>
          <w:p>
            <w:pPr>
              <w:jc w:val="center"/>
              <w:rPr>
                <w:rFonts w:hint="eastAsia" w:ascii="黑体" w:hAnsi="黑体" w:eastAsia="黑体"/>
                <w:sz w:val="24"/>
              </w:rPr>
            </w:pPr>
            <w:r>
              <w:rPr>
                <w:rFonts w:hint="eastAsia" w:ascii="黑体" w:hAnsi="黑体" w:eastAsia="黑体"/>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jc w:val="center"/>
        </w:trPr>
        <w:tc>
          <w:tcPr>
            <w:tcW w:w="1444" w:type="dxa"/>
            <w:noWrap w:val="0"/>
            <w:vAlign w:val="center"/>
          </w:tcPr>
          <w:p>
            <w:pPr>
              <w:jc w:val="center"/>
              <w:rPr>
                <w:rFonts w:hint="eastAsia" w:ascii="仿宋_GB2312" w:eastAsia="仿宋_GB2312"/>
                <w:sz w:val="24"/>
              </w:rPr>
            </w:pPr>
            <w:r>
              <w:rPr>
                <w:rFonts w:hint="eastAsia" w:ascii="仿宋_GB2312" w:eastAsia="仿宋_GB2312"/>
                <w:sz w:val="24"/>
              </w:rPr>
              <w:t>队伍保障</w:t>
            </w:r>
          </w:p>
        </w:tc>
        <w:tc>
          <w:tcPr>
            <w:tcW w:w="12173" w:type="dxa"/>
            <w:noWrap w:val="0"/>
            <w:vAlign w:val="center"/>
          </w:tcPr>
          <w:p>
            <w:pPr>
              <w:rPr>
                <w:rFonts w:hint="eastAsia" w:ascii="仿宋_GB2312" w:eastAsia="仿宋_GB2312"/>
                <w:sz w:val="24"/>
              </w:rPr>
            </w:pPr>
            <w:r>
              <w:rPr>
                <w:rFonts w:hint="eastAsia" w:ascii="仿宋_GB2312" w:eastAsia="仿宋_GB2312"/>
                <w:sz w:val="24"/>
              </w:rPr>
              <w:t>市环境应急监测队伍、市消防救援支队、大型国有骨干企业应急救援队伍及其他相关方面应急救援队伍等力量，要积极参加突发环境事件应急监测、应急处置与救援、调查处理等工作。市指挥部办公室要建立市级环境应急专家库，发挥专家组作用，为较大及以上突发环境事件应急处置方案制定、污染损害评估和调查处理工作提供决策建议。县级以上人民政府应加强环境应急管理机构和应急救援队伍能力建设，加强环境应急专家队伍建设和管理，加强应急监测培训，定期组织应急演练，提高突发环境事件快速响应及应急处置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3" w:hRule="atLeast"/>
          <w:jc w:val="center"/>
        </w:trPr>
        <w:tc>
          <w:tcPr>
            <w:tcW w:w="1444" w:type="dxa"/>
            <w:noWrap w:val="0"/>
            <w:vAlign w:val="center"/>
          </w:tcPr>
          <w:p>
            <w:pPr>
              <w:jc w:val="center"/>
              <w:rPr>
                <w:rFonts w:hint="eastAsia" w:ascii="仿宋_GB2312" w:eastAsia="仿宋_GB2312"/>
                <w:sz w:val="24"/>
              </w:rPr>
            </w:pPr>
            <w:r>
              <w:rPr>
                <w:rFonts w:hint="eastAsia" w:ascii="仿宋_GB2312" w:eastAsia="仿宋_GB2312"/>
                <w:sz w:val="24"/>
              </w:rPr>
              <w:t>物资与</w:t>
            </w:r>
          </w:p>
          <w:p>
            <w:pPr>
              <w:jc w:val="center"/>
              <w:rPr>
                <w:rFonts w:hint="eastAsia" w:ascii="仿宋_GB2312" w:eastAsia="仿宋_GB2312"/>
                <w:sz w:val="24"/>
              </w:rPr>
            </w:pPr>
            <w:r>
              <w:rPr>
                <w:rFonts w:hint="eastAsia" w:ascii="仿宋_GB2312" w:eastAsia="仿宋_GB2312"/>
                <w:sz w:val="24"/>
              </w:rPr>
              <w:t>资金保障</w:t>
            </w:r>
          </w:p>
        </w:tc>
        <w:tc>
          <w:tcPr>
            <w:tcW w:w="12173" w:type="dxa"/>
            <w:noWrap w:val="0"/>
            <w:vAlign w:val="center"/>
          </w:tcPr>
          <w:p>
            <w:pPr>
              <w:rPr>
                <w:rFonts w:hint="eastAsia" w:ascii="仿宋_GB2312" w:eastAsia="仿宋_GB2312"/>
                <w:sz w:val="24"/>
              </w:rPr>
            </w:pPr>
            <w:r>
              <w:rPr>
                <w:rFonts w:hint="eastAsia" w:ascii="仿宋_GB2312" w:eastAsia="仿宋_GB2312"/>
                <w:sz w:val="24"/>
              </w:rPr>
              <w:t>市指挥部成员单位按照职责分工，组织做好环境应急救援物资紧急生产、储备调拨和紧急配送工作，保障支援突发环境事件应急处置和环境恢复治理工作的需要。</w:t>
            </w:r>
          </w:p>
          <w:p>
            <w:pPr>
              <w:rPr>
                <w:rFonts w:hint="eastAsia" w:ascii="仿宋_GB2312" w:eastAsia="仿宋_GB2312"/>
                <w:sz w:val="24"/>
              </w:rPr>
            </w:pPr>
            <w:r>
              <w:rPr>
                <w:rFonts w:hint="eastAsia" w:ascii="仿宋_GB2312" w:eastAsia="仿宋_GB2312"/>
                <w:sz w:val="24"/>
              </w:rPr>
              <w:t>县级以上人民政府及其有关部门要加强应急物资储备，制定环境应急物资储备计划，建立应急物资储备库，组织应急物资的监管、生产、储存、更新、补充、调拨和紧急配送等工作。鼓励支持社会化应急物资储备。本辖区市、县生态环境主管部门要加强对当地环境应急物资储备信息的动态管理。</w:t>
            </w:r>
          </w:p>
          <w:p>
            <w:pPr>
              <w:rPr>
                <w:rFonts w:hint="eastAsia" w:ascii="仿宋_GB2312" w:eastAsia="仿宋_GB2312"/>
                <w:sz w:val="24"/>
              </w:rPr>
            </w:pPr>
            <w:r>
              <w:rPr>
                <w:rFonts w:hint="eastAsia" w:ascii="仿宋_GB2312" w:eastAsia="仿宋_GB2312"/>
                <w:sz w:val="24"/>
              </w:rPr>
              <w:t>突发环境事件应急处置所需经费首先由事件责任单位承担，县级以上政府对突发环境事件应急处置工作提供资金保障。</w:t>
            </w:r>
          </w:p>
          <w:p>
            <w:pPr>
              <w:rPr>
                <w:rFonts w:hint="eastAsia" w:ascii="仿宋_GB2312" w:eastAsia="仿宋_GB2312"/>
                <w:sz w:val="24"/>
              </w:rPr>
            </w:pPr>
            <w:r>
              <w:rPr>
                <w:rFonts w:hint="eastAsia" w:ascii="仿宋_GB2312" w:eastAsia="仿宋_GB2312"/>
                <w:sz w:val="24"/>
              </w:rPr>
              <w:t>财政部门对突发环境事件财政应急保障资金的使用进行监管和评估。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jc w:val="center"/>
        </w:trPr>
        <w:tc>
          <w:tcPr>
            <w:tcW w:w="1444" w:type="dxa"/>
            <w:noWrap w:val="0"/>
            <w:vAlign w:val="center"/>
          </w:tcPr>
          <w:p>
            <w:pPr>
              <w:jc w:val="center"/>
              <w:rPr>
                <w:rFonts w:hint="eastAsia" w:ascii="仿宋_GB2312" w:eastAsia="仿宋_GB2312"/>
                <w:sz w:val="24"/>
              </w:rPr>
            </w:pPr>
            <w:r>
              <w:rPr>
                <w:rFonts w:hint="eastAsia" w:ascii="仿宋_GB2312" w:eastAsia="仿宋_GB2312"/>
                <w:sz w:val="24"/>
              </w:rPr>
              <w:t>通信、交通、电力与运输</w:t>
            </w:r>
          </w:p>
          <w:p>
            <w:pPr>
              <w:jc w:val="center"/>
              <w:rPr>
                <w:rFonts w:hint="eastAsia" w:ascii="仿宋_GB2312" w:eastAsia="仿宋_GB2312"/>
                <w:sz w:val="24"/>
              </w:rPr>
            </w:pPr>
            <w:r>
              <w:rPr>
                <w:rFonts w:hint="eastAsia" w:ascii="仿宋_GB2312" w:eastAsia="仿宋_GB2312"/>
                <w:sz w:val="24"/>
              </w:rPr>
              <w:t>保障</w:t>
            </w:r>
          </w:p>
        </w:tc>
        <w:tc>
          <w:tcPr>
            <w:tcW w:w="12173" w:type="dxa"/>
            <w:noWrap w:val="0"/>
            <w:vAlign w:val="center"/>
          </w:tcPr>
          <w:p>
            <w:pPr>
              <w:rPr>
                <w:rFonts w:hint="eastAsia" w:ascii="仿宋_GB2312" w:eastAsia="仿宋_GB2312"/>
                <w:sz w:val="24"/>
              </w:rPr>
            </w:pPr>
            <w:r>
              <w:rPr>
                <w:rFonts w:hint="eastAsia" w:ascii="仿宋_GB2312" w:eastAsia="仿宋_GB2312"/>
                <w:sz w:val="24"/>
              </w:rPr>
              <w:t>县级以上人民政府要建立健全突发环境事件应急通信保障体系，确保应急期间通信联络和信息传递需要。交通运输、铁路等部门要健全公路、铁路紧急运输保障体系，负责组织提供应急响应所需的公路、铁路运输保障。公安部门要加强应急交通管理，保障运送伤病员、应急救援人员、物资、装备、器材车辆的优先通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5" w:hRule="atLeast"/>
          <w:jc w:val="center"/>
        </w:trPr>
        <w:tc>
          <w:tcPr>
            <w:tcW w:w="1444" w:type="dxa"/>
            <w:noWrap w:val="0"/>
            <w:vAlign w:val="center"/>
          </w:tcPr>
          <w:p>
            <w:pPr>
              <w:jc w:val="center"/>
              <w:rPr>
                <w:rFonts w:hint="eastAsia" w:ascii="仿宋_GB2312" w:eastAsia="仿宋_GB2312"/>
                <w:sz w:val="24"/>
              </w:rPr>
            </w:pPr>
            <w:r>
              <w:rPr>
                <w:rFonts w:hint="eastAsia" w:ascii="仿宋_GB2312" w:eastAsia="仿宋_GB2312"/>
                <w:sz w:val="24"/>
              </w:rPr>
              <w:t>技术保障</w:t>
            </w:r>
          </w:p>
        </w:tc>
        <w:tc>
          <w:tcPr>
            <w:tcW w:w="12173" w:type="dxa"/>
            <w:noWrap w:val="0"/>
            <w:vAlign w:val="center"/>
          </w:tcPr>
          <w:p>
            <w:pPr>
              <w:rPr>
                <w:rFonts w:hint="eastAsia" w:ascii="仿宋_GB2312" w:eastAsia="仿宋_GB2312"/>
                <w:sz w:val="24"/>
              </w:rPr>
            </w:pPr>
            <w:r>
              <w:rPr>
                <w:rFonts w:hint="eastAsia" w:ascii="仿宋_GB2312" w:eastAsia="仿宋_GB2312"/>
                <w:sz w:val="24"/>
              </w:rPr>
              <w:t>县级以上人民政府要支持突发环境事件应急处置和监测先进技术、装备的研发，建立科学有效的环境应急指挥技术平台，实现信息综合集成、分析处理、污染评估的智能化和数字化，确保决策的科学性。有关专业监测机构应当按照应急需要加强技术保障建设，确保监测数据信息完整可靠。</w:t>
            </w:r>
          </w:p>
        </w:tc>
      </w:tr>
    </w:tbl>
    <w:p>
      <w:pPr>
        <w:spacing w:line="100" w:lineRule="exact"/>
        <w:jc w:val="center"/>
        <w:rPr>
          <w:rFonts w:ascii="方正小标宋简体" w:eastAsia="方正小标宋简体"/>
          <w:bCs/>
          <w:sz w:val="32"/>
          <w:szCs w:val="32"/>
        </w:rPr>
        <w:sectPr>
          <w:footerReference r:id="rId3" w:type="default"/>
          <w:footerReference r:id="rId4" w:type="even"/>
          <w:pgSz w:w="16838" w:h="11906" w:orient="landscape"/>
          <w:pgMar w:top="1474" w:right="1531" w:bottom="1474" w:left="1701" w:header="851" w:footer="851" w:gutter="0"/>
          <w:cols w:space="720" w:num="1"/>
          <w:docGrid w:linePitch="312" w:charSpace="0"/>
        </w:sectPr>
      </w:pPr>
      <w:r>
        <w:rPr>
          <w:rFonts w:ascii="方正小标宋简体" w:eastAsia="方正小标宋简体"/>
          <w:bCs/>
          <w:sz w:val="32"/>
          <w:szCs w:val="32"/>
        </w:rPr>
        <mc:AlternateContent>
          <mc:Choice Requires="wps">
            <w:drawing>
              <wp:anchor distT="0" distB="0" distL="114300" distR="114300" simplePos="0" relativeHeight="251767808" behindDoc="0" locked="0" layoutInCell="1" allowOverlap="1">
                <wp:simplePos x="0" y="0"/>
                <wp:positionH relativeFrom="column">
                  <wp:posOffset>-5080</wp:posOffset>
                </wp:positionH>
                <wp:positionV relativeFrom="paragraph">
                  <wp:posOffset>300355</wp:posOffset>
                </wp:positionV>
                <wp:extent cx="1000125" cy="396240"/>
                <wp:effectExtent l="8255" t="7620" r="20320" b="15240"/>
                <wp:wrapNone/>
                <wp:docPr id="94" name="文本框 94"/>
                <wp:cNvGraphicFramePr/>
                <a:graphic xmlns:a="http://schemas.openxmlformats.org/drawingml/2006/main">
                  <a:graphicData uri="http://schemas.microsoft.com/office/word/2010/wordprocessingShape">
                    <wps:wsp>
                      <wps:cNvSpPr txBox="1"/>
                      <wps:spPr>
                        <a:xfrm>
                          <a:off x="0" y="0"/>
                          <a:ext cx="1000125" cy="39624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0.4pt;margin-top:23.65pt;height:31.2pt;width:78.75pt;z-index:251767808;mso-width-relative:page;mso-height-relative:page;" fillcolor="#FFFFFF" filled="t" stroked="t" coordsize="21600,21600" o:gfxdata="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&#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2I861dcAAAAIAQAADwAAAAAAAAABACAAAAAiAAAA&#10;ZHJzL2Rvd25yZXYueG1sUEsBAhQAFAAAAAgAh07iQOoFTUVBAgAAwAQAAA4AAAAAAAAAAQAgAAAA&#10;JgEAAGRycy9lMm9Eb2MueG1sUEsFBgAAAAAGAAYAWQEAANkFAAAAAA==&#10;">
                <v:path/>
                <v:fill type="gradient" on="t" angle="90" focussize="0f,0f">
                  <o:fill type="gradientUnscaled" v:ext="backwardCompatible"/>
                </v:fill>
                <v:stroke weight="1.25pt" color="#FFFFFF"/>
                <v:imagedata o:title=""/>
                <o:lock v:ext="edit"/>
                <v:textbox>
                  <w:txbxContent>
                    <w:p/>
                  </w:txbxContent>
                </v:textbox>
              </v:shape>
            </w:pict>
          </mc:Fallback>
        </mc:AlternateContent>
      </w:r>
    </w:p>
    <w:p>
      <w:pPr>
        <w:spacing w:line="100" w:lineRule="exact"/>
        <w:jc w:val="center"/>
        <w:rPr>
          <w:rFonts w:hint="eastAsia" w:ascii="方正小标宋简体" w:eastAsia="方正小标宋简体"/>
          <w:bCs/>
          <w:sz w:val="32"/>
          <w:szCs w:val="32"/>
        </w:rPr>
      </w:pPr>
    </w:p>
    <w:p>
      <w:pPr>
        <w:jc w:val="both"/>
      </w:pPr>
      <w:bookmarkStart w:id="0" w:name="_GoBack"/>
      <w:bookmarkEnd w:id="0"/>
    </w:p>
    <w:sectPr>
      <w:footerReference r:id="rId5"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8809" w:h="704" w:hRule="exact" w:wrap="around" w:vAnchor="text" w:hAnchor="margin" w:xAlign="center" w:y="-332"/>
      <w:wordWrap w:val="0"/>
      <w:jc w:val="right"/>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33</w:t>
    </w:r>
    <w:r>
      <w:rPr>
        <w:sz w:val="28"/>
        <w:szCs w:val="28"/>
      </w:rPr>
      <w:fldChar w:fldCharType="end"/>
    </w:r>
    <w:r>
      <w:rPr>
        <w:rStyle w:val="7"/>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8819" w:h="654" w:hRule="exact" w:wrap="around" w:vAnchor="text" w:hAnchor="page" w:x="1592" w:y="-122"/>
      <w:ind w:left="210" w:leftChars="100"/>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34</w:t>
    </w:r>
    <w:r>
      <w:rPr>
        <w:sz w:val="28"/>
        <w:szCs w:val="28"/>
      </w:rPr>
      <w:fldChar w:fldCharType="end"/>
    </w:r>
    <w:r>
      <w:rPr>
        <w:rStyle w:val="7"/>
        <w:rFonts w:hint="eastAsia"/>
        <w:sz w:val="28"/>
        <w:szCs w:val="28"/>
      </w:rPr>
      <w:t xml:space="preserve"> —</w: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04438"/>
    <w:rsid w:val="10616B01"/>
    <w:rsid w:val="1E645890"/>
    <w:rsid w:val="1EAA50DC"/>
    <w:rsid w:val="328D12AC"/>
    <w:rsid w:val="3743326D"/>
    <w:rsid w:val="7DF0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eastAsia="黑体"/>
      <w:sz w:val="28"/>
    </w:rPr>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1"/>
      <w:szCs w:val="31"/>
      <w:lang w:val="zh-CN" w:bidi="zh-CN"/>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Char Char Char Char"/>
    <w:basedOn w:val="1"/>
    <w:link w:val="5"/>
    <w:uiPriority w:val="0"/>
    <w:pPr>
      <w:tabs>
        <w:tab w:val="right" w:leader="middleDot" w:pos="360"/>
      </w:tabs>
    </w:pPr>
    <w:rPr>
      <w:rFonts w:eastAsia="黑体"/>
      <w:sz w:val="28"/>
    </w:rPr>
  </w:style>
  <w:style w:type="character" w:styleId="7">
    <w:name w:val="page number"/>
    <w:basedOn w:val="5"/>
    <w:uiPriority w:val="0"/>
  </w:style>
  <w:style w:type="paragraph" w:customStyle="1" w:styleId="8">
    <w:name w:val="Table Paragraph"/>
    <w:basedOn w:val="1"/>
    <w:qFormat/>
    <w:uiPriority w:val="0"/>
    <w:pPr>
      <w:ind w:firstLine="200" w:firstLineChars="200"/>
    </w:pPr>
    <w:rPr>
      <w:rFonts w:ascii="宋体" w:hAnsi="宋体" w:cs="宋体"/>
      <w:sz w:val="3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2025-11-19T02:26:00Z</dcterms:created>
  <dc:creator>Administrator</dc:creator>
  <cp:lastModifiedBy>Administrator</cp:lastModifiedBy>
  <dcterms:modified xsi:type="dcterms:W3CDTF">2025-11-19T02:37:38Z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