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ascii="仿宋_GB2312" w:hAnsi="仿宋_GB2312" w:eastAsia="仿宋_GB2312" w:cs="仿宋_GB2312"/>
          <w:sz w:val="32"/>
          <w:szCs w:val="32"/>
        </w:rPr>
      </w:pPr>
      <w:r>
        <w:rPr>
          <w:rFonts w:hint="eastAsia" w:ascii="宋体" w:hAnsi="宋体" w:eastAsia="宋体" w:cs="宋体"/>
          <w:b/>
          <w:kern w:val="2"/>
          <w:sz w:val="44"/>
          <w:szCs w:val="44"/>
          <w:lang w:val="en-US" w:eastAsia="zh-CN" w:bidi="ar-SA"/>
        </w:rPr>
        <w:t>晋城市养犬管理办法</w:t>
      </w:r>
      <w:r>
        <w:rPr>
          <w:rFonts w:hint="eastAsia" w:ascii="宋体" w:hAnsi="宋体" w:eastAsia="宋体" w:cs="宋体"/>
          <w:b/>
          <w:kern w:val="2"/>
          <w:sz w:val="44"/>
          <w:szCs w:val="44"/>
          <w:lang w:val="en-US" w:eastAsia="zh-CN" w:bidi="ar-SA"/>
        </w:rPr>
        <w:br w:type="textWrapping"/>
      </w:r>
      <w:r>
        <w:rPr>
          <w:rFonts w:hint="eastAsia" w:ascii="楷体" w:hAnsi="楷体" w:eastAsia="楷体" w:cs="楷体"/>
          <w:b w:val="0"/>
          <w:bCs/>
          <w:kern w:val="2"/>
          <w:sz w:val="32"/>
          <w:szCs w:val="32"/>
          <w:lang w:val="en-US" w:eastAsia="zh-CN" w:bidi="ar-SA"/>
        </w:rPr>
        <w:t>晋城市人民政府令 第1号</w:t>
      </w:r>
    </w:p>
    <w:p>
      <w:pPr>
        <w:spacing w:line="560" w:lineRule="exact"/>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黑体" w:hAnsi="黑体" w:eastAsia="黑体" w:cs="黑体"/>
          <w:sz w:val="32"/>
          <w:szCs w:val="32"/>
        </w:rPr>
        <w:t>第一条</w:t>
      </w:r>
      <w:r>
        <w:rPr>
          <w:rFonts w:hint="eastAsia" w:ascii="黑体" w:hAnsi="黑体" w:eastAsia="黑体" w:cs="黑体"/>
          <w:sz w:val="32"/>
          <w:szCs w:val="32"/>
          <w:lang w:eastAsia="zh-CN"/>
        </w:rPr>
        <w:t>　</w:t>
      </w:r>
      <w:r>
        <w:rPr>
          <w:rFonts w:hint="eastAsia" w:ascii="仿宋" w:hAnsi="仿宋" w:eastAsia="仿宋" w:cs="仿宋"/>
          <w:sz w:val="32"/>
          <w:szCs w:val="32"/>
        </w:rPr>
        <w:t>为了加强养犬管理，规范养犬行为，保障公民健康和人身安全，改善市容环境卫生，维护社会公共秩序，提升城市文明形象，根据有关法律</w:t>
      </w:r>
      <w:bookmarkStart w:id="0" w:name="_GoBack"/>
      <w:bookmarkEnd w:id="0"/>
      <w:r>
        <w:rPr>
          <w:rFonts w:hint="eastAsia" w:ascii="仿宋" w:hAnsi="仿宋" w:eastAsia="仿宋" w:cs="仿宋"/>
          <w:sz w:val="32"/>
          <w:szCs w:val="32"/>
        </w:rPr>
        <w:t>、法规，结合本市实际，制定本办法。</w:t>
      </w:r>
    </w:p>
    <w:p>
      <w:pPr>
        <w:spacing w:line="560" w:lineRule="exact"/>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黑体" w:hAnsi="黑体" w:eastAsia="黑体" w:cs="黑体"/>
          <w:b/>
          <w:bCs/>
          <w:sz w:val="32"/>
          <w:szCs w:val="32"/>
          <w:lang w:eastAsia="zh-CN"/>
        </w:rPr>
        <w:t>　</w:t>
      </w:r>
      <w:r>
        <w:rPr>
          <w:rFonts w:hint="eastAsia" w:ascii="黑体" w:hAnsi="黑体" w:eastAsia="黑体" w:cs="黑体"/>
          <w:b w:val="0"/>
          <w:bCs w:val="0"/>
          <w:sz w:val="32"/>
          <w:szCs w:val="32"/>
        </w:rPr>
        <w:t>第二条</w:t>
      </w:r>
      <w:r>
        <w:rPr>
          <w:rFonts w:hint="eastAsia" w:ascii="黑体" w:hAnsi="黑体" w:eastAsia="黑体" w:cs="黑体"/>
          <w:b/>
          <w:bCs/>
          <w:sz w:val="32"/>
          <w:szCs w:val="32"/>
          <w:lang w:eastAsia="zh-CN"/>
        </w:rPr>
        <w:t>　</w:t>
      </w:r>
      <w:r>
        <w:rPr>
          <w:rFonts w:hint="eastAsia" w:ascii="仿宋" w:hAnsi="仿宋" w:eastAsia="仿宋" w:cs="仿宋"/>
          <w:sz w:val="32"/>
          <w:szCs w:val="32"/>
        </w:rPr>
        <w:t>本办法适用于本市行政区域内的养犬行为以及相关管理活动。</w:t>
      </w:r>
    </w:p>
    <w:p>
      <w:pPr>
        <w:spacing w:line="560" w:lineRule="exact"/>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rPr>
        <w:t>军用、警用犬只以及动物园、科研机构等单位特定用途犬只的管理，按照有关规定执行。</w:t>
      </w:r>
    </w:p>
    <w:p>
      <w:pPr>
        <w:spacing w:line="560" w:lineRule="exact"/>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黑体" w:hAnsi="黑体" w:eastAsia="黑体" w:cs="黑体"/>
          <w:sz w:val="32"/>
          <w:szCs w:val="32"/>
        </w:rPr>
        <w:t>第三条</w:t>
      </w:r>
      <w:r>
        <w:rPr>
          <w:rFonts w:hint="eastAsia" w:ascii="黑体" w:hAnsi="黑体" w:eastAsia="黑体" w:cs="黑体"/>
          <w:sz w:val="32"/>
          <w:szCs w:val="32"/>
          <w:lang w:eastAsia="zh-CN"/>
        </w:rPr>
        <w:t>　</w:t>
      </w:r>
      <w:r>
        <w:rPr>
          <w:rFonts w:hint="eastAsia" w:ascii="仿宋" w:hAnsi="仿宋" w:eastAsia="仿宋" w:cs="仿宋"/>
          <w:sz w:val="32"/>
          <w:szCs w:val="32"/>
        </w:rPr>
        <w:t>养犬管理按照重点管理区和一般管理区实行分区管理。</w:t>
      </w:r>
    </w:p>
    <w:p>
      <w:pPr>
        <w:spacing w:line="560" w:lineRule="exact"/>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rPr>
        <w:t>市人民政府负责划定城市建成区的重点管理区范围，并适时予以调整。</w:t>
      </w:r>
    </w:p>
    <w:p>
      <w:pPr>
        <w:spacing w:line="560" w:lineRule="exact"/>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rPr>
        <w:t>县（市）人民政府负责划定本行政区域内的重点管理区范围，并适时予以调整。</w:t>
      </w:r>
    </w:p>
    <w:p>
      <w:pPr>
        <w:spacing w:line="560" w:lineRule="exact"/>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rPr>
        <w:t>重点管理区的范围应当向社会公布。</w:t>
      </w:r>
    </w:p>
    <w:p>
      <w:pPr>
        <w:spacing w:line="560" w:lineRule="exact"/>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rPr>
        <w:t>重点管理区域之外的其他区域为一般管理区。</w:t>
      </w:r>
    </w:p>
    <w:p>
      <w:pPr>
        <w:spacing w:line="560" w:lineRule="exact"/>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黑体" w:hAnsi="黑体" w:eastAsia="黑体" w:cs="黑体"/>
          <w:sz w:val="32"/>
          <w:szCs w:val="32"/>
        </w:rPr>
        <w:t>第四条</w:t>
      </w:r>
      <w:r>
        <w:rPr>
          <w:rFonts w:hint="eastAsia" w:ascii="黑体" w:hAnsi="黑体" w:eastAsia="黑体" w:cs="黑体"/>
          <w:sz w:val="32"/>
          <w:szCs w:val="32"/>
          <w:lang w:eastAsia="zh-CN"/>
        </w:rPr>
        <w:t>　</w:t>
      </w:r>
      <w:r>
        <w:rPr>
          <w:rFonts w:hint="eastAsia" w:ascii="仿宋" w:hAnsi="仿宋" w:eastAsia="仿宋" w:cs="仿宋"/>
          <w:sz w:val="32"/>
          <w:szCs w:val="32"/>
        </w:rPr>
        <w:t>市、县（市、区）人民政府应当加强对养犬管理工作的领导，将养犬管理工作经费纳入财政预算，建立养犬管理协调、保障工作机制。</w:t>
      </w:r>
    </w:p>
    <w:p>
      <w:pPr>
        <w:spacing w:line="560" w:lineRule="exact"/>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rPr>
        <w:t>公安机关为养犬管理的主管部门，负责养犬登记管理、无主犬抓捕和收容管理、查处违法违规养犬行为及因犬引发的违反治安管理和犯罪行为，配合有关部门开展相关执法和应急处置工作。</w:t>
      </w:r>
    </w:p>
    <w:p>
      <w:pPr>
        <w:spacing w:line="560" w:lineRule="exact"/>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rPr>
        <w:t>城市管理部门负责查处养犬影响公共场所市容环境卫生行为。</w:t>
      </w:r>
    </w:p>
    <w:p>
      <w:pPr>
        <w:spacing w:line="560" w:lineRule="exact"/>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rPr>
        <w:t>畜牧兽医部门负责组织开展犬类狂犬病的疫苗免疫，发放犬类免疫证。</w:t>
      </w:r>
    </w:p>
    <w:p>
      <w:pPr>
        <w:spacing w:line="560" w:lineRule="exact"/>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rPr>
        <w:t>卫生健康部门负责人用狂犬病疫苗供应、接种和狂犬病人诊治及监测管理工作。</w:t>
      </w:r>
    </w:p>
    <w:p>
      <w:pPr>
        <w:spacing w:line="560" w:lineRule="exact"/>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rPr>
        <w:t>行政审批部门负责涉犬经营单位登记工作。</w:t>
      </w:r>
    </w:p>
    <w:p>
      <w:pPr>
        <w:spacing w:line="560" w:lineRule="exact"/>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rPr>
        <w:t>市场监管部门负责涉犬经营单位监管工作。</w:t>
      </w:r>
    </w:p>
    <w:p>
      <w:pPr>
        <w:spacing w:line="560" w:lineRule="exact"/>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rPr>
        <w:t>农业农村部门负责犬只集中饲养和无害化处理等场所以及犬类诊疗机构的监管。</w:t>
      </w:r>
    </w:p>
    <w:p>
      <w:pPr>
        <w:spacing w:line="560" w:lineRule="exact"/>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rPr>
        <w:t>财政部门负责养犬管理的经费保障工作。</w:t>
      </w:r>
    </w:p>
    <w:p>
      <w:pPr>
        <w:spacing w:line="560" w:lineRule="exact"/>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rPr>
        <w:t>乡镇人民政府和街道办事处应当配合有关部门做好相关养犬管理工作。</w:t>
      </w:r>
    </w:p>
    <w:p>
      <w:pPr>
        <w:spacing w:line="560" w:lineRule="exact"/>
        <w:rPr>
          <w:rFonts w:hint="eastAsia" w:ascii="仿宋" w:hAnsi="仿宋" w:eastAsia="仿宋" w:cs="仿宋"/>
          <w:sz w:val="32"/>
          <w:szCs w:val="32"/>
        </w:rPr>
      </w:pPr>
      <w:r>
        <w:rPr>
          <w:rFonts w:hint="eastAsia" w:ascii="黑体" w:hAnsi="黑体" w:eastAsia="黑体" w:cs="黑体"/>
          <w:sz w:val="32"/>
          <w:szCs w:val="32"/>
          <w:lang w:eastAsia="zh-CN"/>
        </w:rPr>
        <w:t>　　</w:t>
      </w:r>
      <w:r>
        <w:rPr>
          <w:rFonts w:hint="eastAsia" w:ascii="黑体" w:hAnsi="黑体" w:eastAsia="黑体" w:cs="黑体"/>
          <w:sz w:val="32"/>
          <w:szCs w:val="32"/>
        </w:rPr>
        <w:t>第五条</w:t>
      </w:r>
      <w:r>
        <w:rPr>
          <w:rFonts w:hint="eastAsia" w:ascii="黑体" w:hAnsi="黑体" w:eastAsia="黑体" w:cs="黑体"/>
          <w:sz w:val="32"/>
          <w:szCs w:val="32"/>
          <w:lang w:eastAsia="zh-CN"/>
        </w:rPr>
        <w:t>　</w:t>
      </w:r>
      <w:r>
        <w:rPr>
          <w:rFonts w:hint="eastAsia" w:ascii="仿宋" w:hAnsi="仿宋" w:eastAsia="仿宋" w:cs="仿宋"/>
          <w:sz w:val="32"/>
          <w:szCs w:val="32"/>
        </w:rPr>
        <w:t>居民委员会、村民委员会、小区业主委员会可以就本区域内有关养犬事项依法制定公约，并组织实施。</w:t>
      </w:r>
    </w:p>
    <w:p>
      <w:pPr>
        <w:spacing w:line="560" w:lineRule="exact"/>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rPr>
        <w:t>物业服务企业应当协助有关管理部门开展文明养犬宣传，对违法养犬行为予以劝导、制止，并及时向有关管理部门报告。</w:t>
      </w:r>
    </w:p>
    <w:p>
      <w:pPr>
        <w:spacing w:line="560" w:lineRule="exact"/>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黑体" w:hAnsi="黑体" w:eastAsia="黑体" w:cs="黑体"/>
          <w:sz w:val="32"/>
          <w:szCs w:val="32"/>
        </w:rPr>
        <w:t>第六条</w:t>
      </w:r>
      <w:r>
        <w:rPr>
          <w:rFonts w:hint="eastAsia" w:ascii="黑体" w:hAnsi="黑体" w:eastAsia="黑体" w:cs="黑体"/>
          <w:sz w:val="32"/>
          <w:szCs w:val="32"/>
          <w:lang w:eastAsia="zh-CN"/>
        </w:rPr>
        <w:t>　</w:t>
      </w:r>
      <w:r>
        <w:rPr>
          <w:rFonts w:hint="eastAsia" w:ascii="仿宋" w:hAnsi="仿宋" w:eastAsia="仿宋" w:cs="仿宋"/>
          <w:sz w:val="32"/>
          <w:szCs w:val="32"/>
        </w:rPr>
        <w:t>鼓励和支持有条件的行业协会、动物保护组织等社会团体和动物诊疗机构参与犬只收容、领养等活动。犬只收容机构不得从事犬只繁殖、经营活动。</w:t>
      </w:r>
    </w:p>
    <w:p>
      <w:pPr>
        <w:spacing w:line="560" w:lineRule="exact"/>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rPr>
        <w:t>收容的犬只自被收容之日起三十日内无人领养的，视为无主犬只。无主犬只由犬只收容机构按照有关规定处理。</w:t>
      </w:r>
    </w:p>
    <w:p>
      <w:pPr>
        <w:spacing w:line="560" w:lineRule="exact"/>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黑体" w:hAnsi="黑体" w:eastAsia="黑体" w:cs="黑体"/>
          <w:sz w:val="32"/>
          <w:szCs w:val="32"/>
        </w:rPr>
        <w:t>第七条</w:t>
      </w:r>
      <w:r>
        <w:rPr>
          <w:rFonts w:hint="eastAsia" w:ascii="仿宋" w:hAnsi="仿宋" w:eastAsia="仿宋" w:cs="仿宋"/>
          <w:sz w:val="32"/>
          <w:szCs w:val="32"/>
          <w:lang w:eastAsia="zh-CN"/>
        </w:rPr>
        <w:t>　</w:t>
      </w:r>
      <w:r>
        <w:rPr>
          <w:rFonts w:hint="eastAsia" w:ascii="仿宋" w:hAnsi="仿宋" w:eastAsia="仿宋" w:cs="仿宋"/>
          <w:sz w:val="32"/>
          <w:szCs w:val="32"/>
        </w:rPr>
        <w:t>家庭在重点管理区内养犬，每户不得超过一只。</w:t>
      </w:r>
    </w:p>
    <w:p>
      <w:pPr>
        <w:spacing w:line="560" w:lineRule="exact"/>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rPr>
        <w:t>禁止家庭或者个人在重点管理区内饲养烈性犬和大型犬。烈性犬目录和大型犬标准，由市级公安机关会同同级畜牧兽医部门确定，并向社会公布。</w:t>
      </w:r>
    </w:p>
    <w:p>
      <w:pPr>
        <w:spacing w:line="560" w:lineRule="exact"/>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rPr>
        <w:t>经营活动涉及公共安全的单位在重点管理区内可以根据需要饲养犬只（包括烈性犬和大型犬），并应当有专门场所和安全防护设施，实行圈养并确定专人负责犬只管理，其他单位不得养犬。</w:t>
      </w:r>
    </w:p>
    <w:p>
      <w:pPr>
        <w:spacing w:line="560" w:lineRule="exact"/>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黑体" w:hAnsi="黑体" w:eastAsia="黑体" w:cs="黑体"/>
          <w:sz w:val="32"/>
          <w:szCs w:val="32"/>
          <w:lang w:eastAsia="zh-CN"/>
        </w:rPr>
        <w:t>　</w:t>
      </w:r>
      <w:r>
        <w:rPr>
          <w:rFonts w:hint="eastAsia" w:ascii="黑体" w:hAnsi="黑体" w:eastAsia="黑体" w:cs="黑体"/>
          <w:sz w:val="32"/>
          <w:szCs w:val="32"/>
        </w:rPr>
        <w:t>第八条</w:t>
      </w:r>
      <w:r>
        <w:rPr>
          <w:rFonts w:hint="eastAsia" w:ascii="黑体" w:hAnsi="黑体" w:eastAsia="黑体" w:cs="黑体"/>
          <w:sz w:val="32"/>
          <w:szCs w:val="32"/>
          <w:lang w:eastAsia="zh-CN"/>
        </w:rPr>
        <w:t>　</w:t>
      </w:r>
      <w:r>
        <w:rPr>
          <w:rFonts w:hint="eastAsia" w:ascii="仿宋" w:hAnsi="仿宋" w:eastAsia="仿宋" w:cs="仿宋"/>
          <w:sz w:val="32"/>
          <w:szCs w:val="32"/>
        </w:rPr>
        <w:t>养犬人应当履行犬只狂犬病免疫义务，未经免疫，不得饲养。</w:t>
      </w:r>
    </w:p>
    <w:p>
      <w:pPr>
        <w:spacing w:line="560" w:lineRule="exact"/>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rPr>
        <w:t>犬只出生满三个月后的十五日内，或者免疫间隔期届满前十五日内，养犬人应当携带犬只到狂犬病免疫点接种狂犬病疫苗。狂犬病免疫点，由畜牧兽医部门确定并向社会公布。  </w:t>
      </w:r>
    </w:p>
    <w:p>
      <w:pPr>
        <w:spacing w:line="560" w:lineRule="exact"/>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rPr>
        <w:t>鼓励犬只狂犬病免疫机构为行动不便的老年人、残障人士等提供犬只接种狂犬病疫苗上门服务。</w:t>
      </w:r>
    </w:p>
    <w:p>
      <w:pPr>
        <w:spacing w:line="560" w:lineRule="exact"/>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黑体" w:hAnsi="黑体" w:eastAsia="黑体" w:cs="黑体"/>
          <w:sz w:val="32"/>
          <w:szCs w:val="32"/>
        </w:rPr>
        <w:t>第九条</w:t>
      </w:r>
      <w:r>
        <w:rPr>
          <w:rFonts w:hint="eastAsia" w:ascii="仿宋" w:hAnsi="仿宋" w:eastAsia="仿宋" w:cs="仿宋"/>
          <w:sz w:val="32"/>
          <w:szCs w:val="32"/>
          <w:lang w:eastAsia="zh-CN"/>
        </w:rPr>
        <w:t>　</w:t>
      </w:r>
      <w:r>
        <w:rPr>
          <w:rFonts w:hint="eastAsia" w:ascii="仿宋" w:hAnsi="仿宋" w:eastAsia="仿宋" w:cs="仿宋"/>
          <w:sz w:val="32"/>
          <w:szCs w:val="32"/>
        </w:rPr>
        <w:t>在重点管理区内养犬人应当到所在地公安机关办理养犬登记，并领取犬牌。</w:t>
      </w:r>
    </w:p>
    <w:p>
      <w:pPr>
        <w:spacing w:line="560" w:lineRule="exact"/>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rPr>
        <w:t>公安机关应当会同同级城市管理、畜牧兽医、卫生健康、行政审批、市场监管、农业农村等部门共同建立养犬管理信息系统和电子档案，实行登记、免疫和监管等信息共建共享，并为公众提供相关管理和服务信息。</w:t>
      </w:r>
    </w:p>
    <w:p>
      <w:pPr>
        <w:spacing w:line="560" w:lineRule="exact"/>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黑体" w:hAnsi="黑体" w:eastAsia="黑体" w:cs="黑体"/>
          <w:sz w:val="32"/>
          <w:szCs w:val="32"/>
        </w:rPr>
        <w:t>第十条</w:t>
      </w:r>
      <w:r>
        <w:rPr>
          <w:rFonts w:hint="eastAsia" w:ascii="黑体" w:hAnsi="黑体" w:eastAsia="黑体" w:cs="黑体"/>
          <w:sz w:val="32"/>
          <w:szCs w:val="32"/>
          <w:lang w:eastAsia="zh-CN"/>
        </w:rPr>
        <w:t>　</w:t>
      </w:r>
      <w:r>
        <w:rPr>
          <w:rFonts w:hint="eastAsia" w:ascii="仿宋" w:hAnsi="仿宋" w:eastAsia="仿宋" w:cs="仿宋"/>
          <w:sz w:val="32"/>
          <w:szCs w:val="32"/>
        </w:rPr>
        <w:t>养犬人饲养犬只应当遵守有关法律、法规和规章，尊重社会公德，遵守公共秩序，不得破坏环境卫生和公共设施，不得干扰他人正常生活，不得虐待、遗弃犬只。</w:t>
      </w:r>
    </w:p>
    <w:p>
      <w:pPr>
        <w:spacing w:line="560" w:lineRule="exact"/>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黑体" w:hAnsi="黑体" w:eastAsia="黑体" w:cs="黑体"/>
          <w:sz w:val="32"/>
          <w:szCs w:val="32"/>
        </w:rPr>
        <w:t>第十一条</w:t>
      </w:r>
      <w:r>
        <w:rPr>
          <w:rFonts w:hint="eastAsia" w:ascii="黑体" w:hAnsi="黑体" w:eastAsia="黑体" w:cs="黑体"/>
          <w:sz w:val="32"/>
          <w:szCs w:val="32"/>
          <w:lang w:eastAsia="zh-CN"/>
        </w:rPr>
        <w:t>　</w:t>
      </w:r>
      <w:r>
        <w:rPr>
          <w:rFonts w:hint="eastAsia" w:ascii="仿宋" w:hAnsi="仿宋" w:eastAsia="仿宋" w:cs="仿宋"/>
          <w:sz w:val="32"/>
          <w:szCs w:val="32"/>
        </w:rPr>
        <w:t>在重点管理区内养犬外出应当由养犬人携带并遵守下列规定：</w:t>
      </w:r>
    </w:p>
    <w:p>
      <w:pPr>
        <w:spacing w:line="560" w:lineRule="exact"/>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rPr>
        <w:t>（一）为犬只挂犬牌；</w:t>
      </w:r>
    </w:p>
    <w:p>
      <w:pPr>
        <w:spacing w:line="560" w:lineRule="exact"/>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rPr>
        <w:t>（二）携犬出户应为犬只束牵引带并由成年人牵领；</w:t>
      </w:r>
    </w:p>
    <w:p>
      <w:pPr>
        <w:spacing w:line="560" w:lineRule="exact"/>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rPr>
        <w:t>（三）乘坐电梯或者上下楼梯的，避开高峰时间并主动避让他人；</w:t>
      </w:r>
    </w:p>
    <w:p>
      <w:pPr>
        <w:spacing w:line="560" w:lineRule="exact"/>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rPr>
        <w:t>（四）单位饲养的烈性犬和大型犬因免疫、诊疗等原因需要离开饲养场所的，应当装入犬笼；</w:t>
      </w:r>
    </w:p>
    <w:p>
      <w:pPr>
        <w:spacing w:line="560" w:lineRule="exact"/>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rPr>
        <w:t>（五）携犬出户应携带清理工具，即时清除犬只粪便；</w:t>
      </w:r>
    </w:p>
    <w:p>
      <w:pPr>
        <w:spacing w:line="560" w:lineRule="exact"/>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rPr>
        <w:t>（六）法律、法规作出的其他规定。</w:t>
      </w:r>
    </w:p>
    <w:p>
      <w:pPr>
        <w:spacing w:line="560" w:lineRule="exact"/>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黑体" w:hAnsi="黑体" w:eastAsia="黑体" w:cs="黑体"/>
          <w:sz w:val="32"/>
          <w:szCs w:val="32"/>
          <w:lang w:eastAsia="zh-CN"/>
        </w:rPr>
        <w:t>　</w:t>
      </w:r>
      <w:r>
        <w:rPr>
          <w:rFonts w:hint="eastAsia" w:ascii="黑体" w:hAnsi="黑体" w:eastAsia="黑体" w:cs="黑体"/>
          <w:sz w:val="32"/>
          <w:szCs w:val="32"/>
        </w:rPr>
        <w:t>第十二条</w:t>
      </w:r>
      <w:r>
        <w:rPr>
          <w:rFonts w:hint="eastAsia" w:ascii="黑体" w:hAnsi="黑体" w:eastAsia="黑体" w:cs="黑体"/>
          <w:sz w:val="32"/>
          <w:szCs w:val="32"/>
          <w:lang w:eastAsia="zh-CN"/>
        </w:rPr>
        <w:t>　</w:t>
      </w:r>
      <w:r>
        <w:rPr>
          <w:rFonts w:hint="eastAsia" w:ascii="仿宋" w:hAnsi="仿宋" w:eastAsia="仿宋" w:cs="仿宋"/>
          <w:sz w:val="32"/>
          <w:szCs w:val="32"/>
        </w:rPr>
        <w:t>禁止携犬进入下列场所，但盲人携带导盲犬和肢体重残人携带扶助犬的除外：</w:t>
      </w:r>
    </w:p>
    <w:p>
      <w:pPr>
        <w:spacing w:line="560" w:lineRule="exact"/>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rPr>
        <w:t>（一）国家机关办公场所、医疗机构诊疗场所、教育机构办学场所；</w:t>
      </w:r>
    </w:p>
    <w:p>
      <w:pPr>
        <w:spacing w:line="560" w:lineRule="exact"/>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rPr>
        <w:t>（二）图书馆、博物馆、纪念馆、体育场馆、公共泳池、广场等公共文化体育场所；</w:t>
      </w:r>
    </w:p>
    <w:p>
      <w:pPr>
        <w:spacing w:line="560" w:lineRule="exact"/>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rPr>
        <w:t>（三）除出租车以外的公共交通工具以及候车厅、候机室等公共交通场所。</w:t>
      </w:r>
    </w:p>
    <w:p>
      <w:pPr>
        <w:spacing w:line="560" w:lineRule="exact"/>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rPr>
        <w:t>前款规定以外其他场所的管理者或者运营者，可以设置明显标识，禁止携犬进入其经营管理场所。</w:t>
      </w:r>
    </w:p>
    <w:p>
      <w:pPr>
        <w:spacing w:line="560" w:lineRule="exact"/>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rPr>
        <w:t>携犬乘坐出租车、网约车的，应当征得出租车、网约车驾驶员的同意，并将犬只装入犬袋、犬笼或者怀抱。</w:t>
      </w:r>
    </w:p>
    <w:p>
      <w:pPr>
        <w:spacing w:line="560" w:lineRule="exact"/>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黑体" w:hAnsi="黑体" w:eastAsia="黑体" w:cs="黑体"/>
          <w:sz w:val="32"/>
          <w:szCs w:val="32"/>
        </w:rPr>
        <w:t>第十三条</w:t>
      </w:r>
      <w:r>
        <w:rPr>
          <w:rFonts w:hint="eastAsia" w:ascii="仿宋" w:hAnsi="仿宋" w:eastAsia="仿宋" w:cs="仿宋"/>
          <w:sz w:val="32"/>
          <w:szCs w:val="32"/>
          <w:lang w:eastAsia="zh-CN"/>
        </w:rPr>
        <w:t>　</w:t>
      </w:r>
      <w:r>
        <w:rPr>
          <w:rFonts w:hint="eastAsia" w:ascii="仿宋" w:hAnsi="仿宋" w:eastAsia="仿宋" w:cs="仿宋"/>
          <w:sz w:val="32"/>
          <w:szCs w:val="32"/>
        </w:rPr>
        <w:t>养犬人不得在居民区楼道、露台等公共区域养犬。</w:t>
      </w:r>
    </w:p>
    <w:p>
      <w:pPr>
        <w:spacing w:line="560" w:lineRule="exact"/>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黑体" w:hAnsi="黑体" w:eastAsia="黑体" w:cs="黑体"/>
          <w:sz w:val="32"/>
          <w:szCs w:val="32"/>
        </w:rPr>
        <w:t>第十四条</w:t>
      </w:r>
      <w:r>
        <w:rPr>
          <w:rFonts w:hint="eastAsia" w:ascii="仿宋" w:hAnsi="仿宋" w:eastAsia="仿宋" w:cs="仿宋"/>
          <w:sz w:val="32"/>
          <w:szCs w:val="32"/>
          <w:lang w:eastAsia="zh-CN"/>
        </w:rPr>
        <w:t>　</w:t>
      </w:r>
      <w:r>
        <w:rPr>
          <w:rFonts w:hint="eastAsia" w:ascii="仿宋" w:hAnsi="仿宋" w:eastAsia="仿宋" w:cs="仿宋"/>
          <w:sz w:val="32"/>
          <w:szCs w:val="32"/>
        </w:rPr>
        <w:t>犬吠影响他人正常生活的，养犬人应当采取措施予以制止。</w:t>
      </w:r>
    </w:p>
    <w:p>
      <w:pPr>
        <w:spacing w:line="560" w:lineRule="exact"/>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黑体" w:hAnsi="黑体" w:eastAsia="黑体" w:cs="黑体"/>
          <w:sz w:val="32"/>
          <w:szCs w:val="32"/>
        </w:rPr>
        <w:t>第十五条</w:t>
      </w:r>
      <w:r>
        <w:rPr>
          <w:rFonts w:hint="eastAsia" w:ascii="仿宋" w:hAnsi="仿宋" w:eastAsia="仿宋" w:cs="仿宋"/>
          <w:sz w:val="32"/>
          <w:szCs w:val="32"/>
          <w:lang w:eastAsia="zh-CN"/>
        </w:rPr>
        <w:t>　</w:t>
      </w:r>
      <w:r>
        <w:rPr>
          <w:rFonts w:hint="eastAsia" w:ascii="仿宋" w:hAnsi="仿宋" w:eastAsia="仿宋" w:cs="仿宋"/>
          <w:sz w:val="32"/>
          <w:szCs w:val="32"/>
        </w:rPr>
        <w:t>养犬人不得放任或者驱使犬只恐吓、伤害他人。</w:t>
      </w:r>
    </w:p>
    <w:p>
      <w:pPr>
        <w:spacing w:line="560" w:lineRule="exact"/>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黑体" w:hAnsi="黑体" w:eastAsia="黑体" w:cs="黑体"/>
          <w:sz w:val="32"/>
          <w:szCs w:val="32"/>
        </w:rPr>
        <w:t>第十六条</w:t>
      </w:r>
      <w:r>
        <w:rPr>
          <w:rFonts w:hint="eastAsia" w:ascii="仿宋" w:hAnsi="仿宋" w:eastAsia="仿宋" w:cs="仿宋"/>
          <w:sz w:val="32"/>
          <w:szCs w:val="32"/>
          <w:lang w:eastAsia="zh-CN"/>
        </w:rPr>
        <w:t>　</w:t>
      </w:r>
      <w:r>
        <w:rPr>
          <w:rFonts w:hint="eastAsia" w:ascii="仿宋" w:hAnsi="仿宋" w:eastAsia="仿宋" w:cs="仿宋"/>
          <w:sz w:val="32"/>
          <w:szCs w:val="32"/>
        </w:rPr>
        <w:t>从事犬只经营、服务活动的，应当有固定场所、笼养或者圈养设施，符合法律、法规规定的动物防疫、环境卫生、城市管理和公共安全条件，并依法办理登记、注册手续。 </w:t>
      </w:r>
    </w:p>
    <w:p>
      <w:pPr>
        <w:spacing w:line="560" w:lineRule="exact"/>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黑体" w:hAnsi="黑体" w:eastAsia="黑体" w:cs="黑体"/>
          <w:sz w:val="32"/>
          <w:szCs w:val="32"/>
        </w:rPr>
        <w:t>第十七条</w:t>
      </w:r>
      <w:r>
        <w:rPr>
          <w:rFonts w:hint="eastAsia" w:ascii="黑体" w:hAnsi="黑体" w:eastAsia="黑体" w:cs="黑体"/>
          <w:sz w:val="32"/>
          <w:szCs w:val="32"/>
          <w:lang w:eastAsia="zh-CN"/>
        </w:rPr>
        <w:t>　</w:t>
      </w:r>
      <w:r>
        <w:rPr>
          <w:rFonts w:hint="eastAsia" w:ascii="仿宋" w:hAnsi="仿宋" w:eastAsia="仿宋" w:cs="仿宋"/>
          <w:sz w:val="32"/>
          <w:szCs w:val="32"/>
        </w:rPr>
        <w:t>对疑似患有狂犬病的犬只，养犬人应当立即采取隔离等控制措施，并向当地兽医主管部门、动物卫生监督机构或者动物疫病预防控制机构报告；接到报告的单位应当及时采取必要的控制处理措施，并按照规定的程序报告。对患有狂犬病的犬只，应当依照《动物防疫法》等有关法律法规的规定及时处置。</w:t>
      </w:r>
    </w:p>
    <w:p>
      <w:pPr>
        <w:spacing w:line="560" w:lineRule="exact"/>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黑体" w:hAnsi="黑体" w:eastAsia="黑体" w:cs="黑体"/>
          <w:sz w:val="32"/>
          <w:szCs w:val="32"/>
        </w:rPr>
        <w:t>第十八条</w:t>
      </w:r>
      <w:r>
        <w:rPr>
          <w:rFonts w:hint="eastAsia" w:ascii="仿宋" w:hAnsi="仿宋" w:eastAsia="仿宋" w:cs="仿宋"/>
          <w:sz w:val="32"/>
          <w:szCs w:val="32"/>
          <w:lang w:eastAsia="zh-CN"/>
        </w:rPr>
        <w:t>　</w:t>
      </w:r>
      <w:r>
        <w:rPr>
          <w:rFonts w:hint="eastAsia" w:ascii="仿宋" w:hAnsi="仿宋" w:eastAsia="仿宋" w:cs="仿宋"/>
          <w:sz w:val="32"/>
          <w:szCs w:val="32"/>
        </w:rPr>
        <w:t>犬只死亡的，养犬人应当按照国家动物防疫相关规定，将犬只尸体送至指定的无害化处理场所处理。</w:t>
      </w:r>
    </w:p>
    <w:p>
      <w:pPr>
        <w:spacing w:line="560" w:lineRule="exact"/>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黑体" w:hAnsi="黑体" w:eastAsia="黑体" w:cs="黑体"/>
          <w:sz w:val="32"/>
          <w:szCs w:val="32"/>
        </w:rPr>
        <w:t>第十九条</w:t>
      </w:r>
      <w:r>
        <w:rPr>
          <w:rFonts w:hint="eastAsia" w:ascii="黑体" w:hAnsi="黑体" w:eastAsia="黑体" w:cs="黑体"/>
          <w:sz w:val="32"/>
          <w:szCs w:val="32"/>
          <w:lang w:eastAsia="zh-CN"/>
        </w:rPr>
        <w:t>　</w:t>
      </w:r>
      <w:r>
        <w:rPr>
          <w:rFonts w:hint="eastAsia" w:ascii="仿宋" w:hAnsi="仿宋" w:eastAsia="仿宋" w:cs="仿宋"/>
          <w:sz w:val="32"/>
          <w:szCs w:val="32"/>
        </w:rPr>
        <w:t>公安机关、城市管理等有关部门可以根据职责分工分别对违法养犬行为进行公开曝光。</w:t>
      </w:r>
    </w:p>
    <w:p>
      <w:pPr>
        <w:spacing w:line="560" w:lineRule="exact"/>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rPr>
        <w:t>公安机关、城市管理等有关部门应当向社会公布对违法养犬行为举报和投诉的方式、流程及办理时限，方便单位和公民举报、投诉，并为举报人、投诉人保密。</w:t>
      </w:r>
    </w:p>
    <w:p>
      <w:pPr>
        <w:spacing w:line="560" w:lineRule="exact"/>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黑体" w:hAnsi="黑体" w:eastAsia="黑体" w:cs="黑体"/>
          <w:sz w:val="32"/>
          <w:szCs w:val="32"/>
        </w:rPr>
        <w:t>第二十条</w:t>
      </w:r>
      <w:r>
        <w:rPr>
          <w:rFonts w:hint="eastAsia" w:ascii="仿宋" w:hAnsi="仿宋" w:eastAsia="仿宋" w:cs="仿宋"/>
          <w:sz w:val="32"/>
          <w:szCs w:val="32"/>
          <w:lang w:eastAsia="zh-CN"/>
        </w:rPr>
        <w:t>　</w:t>
      </w:r>
      <w:r>
        <w:rPr>
          <w:rFonts w:hint="eastAsia" w:ascii="仿宋" w:hAnsi="仿宋" w:eastAsia="仿宋" w:cs="仿宋"/>
          <w:sz w:val="32"/>
          <w:szCs w:val="32"/>
        </w:rPr>
        <w:t>违反本办法规定行为，其他法律、法规、规章另有规定的，从其规定。</w:t>
      </w:r>
    </w:p>
    <w:p>
      <w:pPr>
        <w:spacing w:line="560" w:lineRule="exact"/>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黑体" w:hAnsi="黑体" w:eastAsia="黑体" w:cs="黑体"/>
          <w:sz w:val="32"/>
          <w:szCs w:val="32"/>
        </w:rPr>
        <w:t>第二十一条</w:t>
      </w:r>
      <w:r>
        <w:rPr>
          <w:rFonts w:hint="eastAsia" w:ascii="仿宋" w:hAnsi="仿宋" w:eastAsia="仿宋" w:cs="仿宋"/>
          <w:sz w:val="32"/>
          <w:szCs w:val="32"/>
          <w:lang w:eastAsia="zh-CN"/>
        </w:rPr>
        <w:t>　</w:t>
      </w:r>
      <w:r>
        <w:rPr>
          <w:rFonts w:hint="eastAsia" w:ascii="仿宋" w:hAnsi="仿宋" w:eastAsia="仿宋" w:cs="仿宋"/>
          <w:sz w:val="32"/>
          <w:szCs w:val="32"/>
        </w:rPr>
        <w:t>违反本办法规定，未为犬只注射、续种预防狂犬病疫苗的，由农业农村部门责令限期改正；逾期不改正的，对单位处二百元以上五百元以下罚款，对个人处一百元以上二百元以下罚款。</w:t>
      </w:r>
    </w:p>
    <w:p>
      <w:pPr>
        <w:spacing w:line="560" w:lineRule="exact"/>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黑体" w:hAnsi="黑体" w:eastAsia="黑体" w:cs="黑体"/>
          <w:sz w:val="32"/>
          <w:szCs w:val="32"/>
        </w:rPr>
        <w:t>第二十二条</w:t>
      </w:r>
      <w:r>
        <w:rPr>
          <w:rFonts w:hint="eastAsia" w:ascii="仿宋" w:hAnsi="仿宋" w:eastAsia="仿宋" w:cs="仿宋"/>
          <w:sz w:val="32"/>
          <w:szCs w:val="32"/>
          <w:lang w:eastAsia="zh-CN"/>
        </w:rPr>
        <w:t>　</w:t>
      </w:r>
      <w:r>
        <w:rPr>
          <w:rFonts w:hint="eastAsia" w:ascii="仿宋" w:hAnsi="仿宋" w:eastAsia="仿宋" w:cs="仿宋"/>
          <w:sz w:val="32"/>
          <w:szCs w:val="32"/>
        </w:rPr>
        <w:t>违反本办法规定，有下列行为之一的，由公安机关责令限期改正；逾期拒不改正的，处二百元以上五百元以下罚款：</w:t>
      </w:r>
    </w:p>
    <w:p>
      <w:pPr>
        <w:spacing w:line="560" w:lineRule="exact"/>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rPr>
        <w:t>（一）在重点管理区内个人饲养烈性犬、大型犬，个人养犬超过每户限养数量或者单位违反规定饲养犬只；</w:t>
      </w:r>
    </w:p>
    <w:p>
      <w:pPr>
        <w:spacing w:line="560" w:lineRule="exact"/>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rPr>
        <w:t>（二）在重点管理区内养犬未办理养犬登记；</w:t>
      </w:r>
    </w:p>
    <w:p>
      <w:pPr>
        <w:spacing w:line="560" w:lineRule="exact"/>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rPr>
        <w:t>（三）在重点管理区内养犬人携犬外出未挂犬牌、未由成年人束带牵引；</w:t>
      </w:r>
    </w:p>
    <w:p>
      <w:pPr>
        <w:spacing w:line="560" w:lineRule="exact"/>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rPr>
        <w:t>（四）在居民区楼道、露台等公共区域养犬。</w:t>
      </w:r>
    </w:p>
    <w:p>
      <w:pPr>
        <w:spacing w:line="560" w:lineRule="exact"/>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黑体" w:hAnsi="黑体" w:eastAsia="黑体" w:cs="黑体"/>
          <w:sz w:val="32"/>
          <w:szCs w:val="32"/>
        </w:rPr>
        <w:t>第二十三条</w:t>
      </w:r>
      <w:r>
        <w:rPr>
          <w:rFonts w:hint="eastAsia" w:ascii="仿宋" w:hAnsi="仿宋" w:eastAsia="仿宋" w:cs="仿宋"/>
          <w:sz w:val="32"/>
          <w:szCs w:val="32"/>
          <w:lang w:eastAsia="zh-CN"/>
        </w:rPr>
        <w:t>　</w:t>
      </w:r>
      <w:r>
        <w:rPr>
          <w:rFonts w:hint="eastAsia" w:ascii="仿宋" w:hAnsi="仿宋" w:eastAsia="仿宋" w:cs="仿宋"/>
          <w:sz w:val="32"/>
          <w:szCs w:val="32"/>
        </w:rPr>
        <w:t>饲养犬只干扰他人正常生活或者放任犬只恐吓他人、驱使犬只伤害他人，由公安机关依照《中华人民共和国治安管理处罚法》等有关规定执行。</w:t>
      </w:r>
    </w:p>
    <w:p>
      <w:pPr>
        <w:spacing w:line="560" w:lineRule="exact"/>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黑体" w:hAnsi="黑体" w:eastAsia="黑体" w:cs="黑体"/>
          <w:sz w:val="32"/>
          <w:szCs w:val="32"/>
        </w:rPr>
        <w:t>第二十四条</w:t>
      </w:r>
      <w:r>
        <w:rPr>
          <w:rFonts w:hint="eastAsia" w:ascii="黑体" w:hAnsi="黑体" w:eastAsia="黑体" w:cs="黑体"/>
          <w:sz w:val="32"/>
          <w:szCs w:val="32"/>
          <w:lang w:eastAsia="zh-CN"/>
        </w:rPr>
        <w:t>　</w:t>
      </w:r>
      <w:r>
        <w:rPr>
          <w:rFonts w:hint="eastAsia" w:ascii="仿宋" w:hAnsi="仿宋" w:eastAsia="仿宋" w:cs="仿宋"/>
          <w:sz w:val="32"/>
          <w:szCs w:val="32"/>
        </w:rPr>
        <w:t>违反本办法规定，有下列行为之一的，由城市管理部门责令改正；拒不改正的，处五十元以上二百元以下罚款：</w:t>
      </w:r>
    </w:p>
    <w:p>
      <w:pPr>
        <w:spacing w:line="560" w:lineRule="exact"/>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rPr>
        <w:t>（一）在重点管理区内携犬出户未即时清除犬只粪便；</w:t>
      </w:r>
    </w:p>
    <w:p>
      <w:pPr>
        <w:spacing w:line="560" w:lineRule="exact"/>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rPr>
        <w:t>（二）携犬进入第十二条规定场所。</w:t>
      </w:r>
    </w:p>
    <w:p>
      <w:pPr>
        <w:spacing w:line="560" w:lineRule="exact"/>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黑体" w:hAnsi="黑体" w:eastAsia="黑体" w:cs="黑体"/>
          <w:sz w:val="32"/>
          <w:szCs w:val="32"/>
        </w:rPr>
        <w:t>第二十五条</w:t>
      </w:r>
      <w:r>
        <w:rPr>
          <w:rFonts w:hint="eastAsia" w:ascii="仿宋" w:hAnsi="仿宋" w:eastAsia="仿宋" w:cs="仿宋"/>
          <w:sz w:val="32"/>
          <w:szCs w:val="32"/>
          <w:lang w:eastAsia="zh-CN"/>
        </w:rPr>
        <w:t>　</w:t>
      </w:r>
      <w:r>
        <w:rPr>
          <w:rFonts w:hint="eastAsia" w:ascii="仿宋" w:hAnsi="仿宋" w:eastAsia="仿宋" w:cs="仿宋"/>
          <w:sz w:val="32"/>
          <w:szCs w:val="32"/>
        </w:rPr>
        <w:t>本办法自2020年7月1日起施行。</w:t>
      </w:r>
    </w:p>
    <w:p>
      <w:pPr>
        <w:spacing w:line="560" w:lineRule="exact"/>
        <w:rPr>
          <w:rFonts w:hint="eastAsia" w:ascii="仿宋_GB2312" w:hAnsi="仿宋_GB2312" w:eastAsia="仿宋_GB2312" w:cs="仿宋_GB2312"/>
          <w:sz w:val="32"/>
          <w:szCs w:val="32"/>
        </w:rPr>
      </w:pPr>
    </w:p>
    <w:sectPr>
      <w:headerReference r:id="rId3" w:type="default"/>
      <w:footerReference r:id="rId4" w:type="default"/>
      <w:pgSz w:w="11906" w:h="16838"/>
      <w:pgMar w:top="1962" w:right="1474" w:bottom="1848"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sz w:val="32"/>
        <w:szCs w:val="32"/>
        <w:lang w:val="en-US"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465455" cy="349885"/>
              <wp:effectExtent l="0" t="0" r="0" b="0"/>
              <wp:wrapNone/>
              <wp:docPr id="1" name="文本框 1"/>
              <wp:cNvGraphicFramePr/>
              <a:graphic xmlns:a="http://schemas.openxmlformats.org/drawingml/2006/main">
                <a:graphicData uri="http://schemas.microsoft.com/office/word/2010/wordprocessingShape">
                  <wps:wsp>
                    <wps:cNvSpPr txBox="1"/>
                    <wps:spPr>
                      <a:xfrm>
                        <a:off x="0" y="0"/>
                        <a:ext cx="465455" cy="349885"/>
                      </a:xfrm>
                      <a:prstGeom prst="rect">
                        <a:avLst/>
                      </a:prstGeom>
                      <a:noFill/>
                      <a:ln>
                        <a:noFill/>
                      </a:ln>
                    </wps:spPr>
                    <wps:txbx>
                      <w:txbxContent>
                        <w:p>
                          <w:pPr>
                            <w:pStyle w:val="3"/>
                            <w:rPr>
                              <w:rFonts w:hint="eastAsia" w:ascii="宋体" w:hAnsi="宋体" w:eastAsia="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- 1 -</w:t>
                          </w:r>
                          <w:r>
                            <w:rPr>
                              <w:rFonts w:hint="eastAsia" w:ascii="宋体" w:hAnsi="宋体" w:cs="宋体"/>
                              <w:sz w:val="28"/>
                              <w:szCs w:val="28"/>
                            </w:rPr>
                            <w:fldChar w:fldCharType="end"/>
                          </w:r>
                        </w:p>
                      </w:txbxContent>
                    </wps:txbx>
                    <wps:bodyPr vert="horz" wrap="square" lIns="0" tIns="0" rIns="0" bIns="0" anchor="t" anchorCtr="0" upright="0"/>
                  </wps:wsp>
                </a:graphicData>
              </a:graphic>
            </wp:anchor>
          </w:drawing>
        </mc:Choice>
        <mc:Fallback>
          <w:pict>
            <v:shape id="_x0000_s1026" o:spid="_x0000_s1026" o:spt="202" type="#_x0000_t202" style="position:absolute;left:0pt;margin-top:0pt;height:27.55pt;width:36.65pt;mso-position-horizontal:center;mso-position-horizontal-relative:margin;z-index:251659264;mso-width-relative:page;mso-height-relative:page;" filled="f" stroked="f" coordsize="21600,21600" o:gfxdata="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GnbdQTUAAAAAwEAAA8AAAAAAAAAAQAg&#10;AAAAIgAAAGRycy9kb3ducmV2LnhtbFBLAQIUABQAAAAIAIdO4kC8e9KT2QEAAKQDAAAOAAAAAAAA&#10;AAEAIAAAACMBAABkcnMvZTJvRG9jLnhtbFBLBQYAAAAABgAGAFkBAABuBQAAAAA=&#10;">
              <v:fill on="f" focussize="0,0"/>
              <v:stroke on="f"/>
              <v:imagedata o:title=""/>
              <o:lock v:ext="edit" aspectratio="f"/>
              <v:textbox inset="0mm,0mm,0mm,0mm">
                <w:txbxContent>
                  <w:p>
                    <w:pPr>
                      <w:pStyle w:val="3"/>
                      <w:rPr>
                        <w:rFonts w:hint="eastAsia" w:ascii="宋体" w:hAnsi="宋体" w:eastAsia="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- 1 -</w:t>
                    </w:r>
                    <w:r>
                      <w:rPr>
                        <w:rFonts w:hint="eastAsia" w:ascii="宋体" w:hAnsi="宋体" w:cs="宋体"/>
                        <w:sz w:val="28"/>
                        <w:szCs w:val="28"/>
                      </w:rPr>
                      <w:fldChar w:fldCharType="end"/>
                    </w:r>
                  </w:p>
                </w:txbxContent>
              </v:textbox>
            </v:shape>
          </w:pict>
        </mc:Fallback>
      </mc:AlternateContent>
    </w:r>
    <w:r>
      <w:rPr>
        <w:rFonts w:hint="eastAsia"/>
        <w:lang w:val="en-US" w:eastAsia="zh-CN"/>
      </w:rPr>
      <w:tab/>
    </w:r>
  </w:p>
  <w:p>
    <w:pPr>
      <w:pStyle w:val="3"/>
      <w:rPr>
        <w:rFonts w:hint="eastAsia"/>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117475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1007745" y="9413875"/>
                        <a:ext cx="5616575" cy="1905"/>
                      </a:xfrm>
                      <a:prstGeom prst="line">
                        <a:avLst/>
                      </a:prstGeom>
                      <a:noFill/>
                      <a:ln w="22225" cap="flat" cmpd="sng" algn="ctr">
                        <a:solidFill>
                          <a:srgbClr val="005192"/>
                        </a:solidFill>
                        <a:prstDash val="solid"/>
                      </a:ln>
                      <a:effectLst/>
                    </wps:spPr>
                    <wps:bodyPr/>
                  </wps:wsp>
                </a:graphicData>
              </a:graphic>
            </wp:anchor>
          </w:drawing>
        </mc:Choice>
        <mc:Fallback>
          <w:pict>
            <v:line id="_x0000_s1026" o:spid="_x0000_s1026" o:spt="20" style="position:absolute;left:0pt;margin-left:1.5pt;margin-top:9.25pt;height:0.15pt;width:442.25pt;z-index:251660288;mso-width-relative:page;mso-height-relative:page;" filled="f" stroked="t" coordsize="21600,21600" o:gfxdata="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Y&#10;sXW70gAAAAcBAAAPAAAAAAAAAAEAIAAAACIAAABkcnMvZG93bnJldi54bWxQSwECFAAUAAAACACH&#10;TuJAV3lTNfEBAAC4AwAADgAAAAAAAAABACAAAAAhAQAAZHJzL2Uyb0RvYy54bWxQSwUGAAAAAAYA&#10;BgBZAQAAhAUAAAAA&#10;">
              <v:fill on="f" focussize="0,0"/>
              <v:stroke weight="1.75pt" color="#005192" joinstyle="round"/>
              <v:imagedata o:title=""/>
              <o:lock v:ext="edit" aspectratio="f"/>
            </v:line>
          </w:pict>
        </mc:Fallback>
      </mc:AlternateContent>
    </w:r>
    <w:r>
      <w:rPr>
        <w:rFonts w:hint="eastAsia"/>
        <w:lang w:val="en-US" w:eastAsia="zh-CN"/>
      </w:rPr>
      <w:tab/>
    </w:r>
  </w:p>
  <w:p>
    <w:pPr>
      <w:pStyle w:val="3"/>
      <w:rPr>
        <w:rFonts w:hint="eastAsia"/>
        <w:lang w:val="en-US" w:eastAsia="zh-CN"/>
      </w:rPr>
    </w:pPr>
  </w:p>
  <w:p>
    <w:pPr>
      <w:pStyle w:val="3"/>
      <w:wordWrap w:val="0"/>
      <w:jc w:val="right"/>
      <w:rPr>
        <w:rFonts w:hint="default"/>
        <w:sz w:val="28"/>
        <w:szCs w:val="28"/>
        <w:lang w:val="en-US"/>
      </w:rPr>
    </w:pPr>
    <w:r>
      <w:rPr>
        <w:rFonts w:hint="eastAsia" w:ascii="宋体" w:hAnsi="宋体" w:cs="宋体"/>
        <w:b/>
        <w:bCs/>
        <w:color w:val="005192"/>
        <w:sz w:val="28"/>
        <w:szCs w:val="28"/>
        <w:lang w:val="en-US" w:eastAsia="zh-CN"/>
      </w:rPr>
      <w:t>晋城市人民政府</w:t>
    </w:r>
    <w:r>
      <w:rPr>
        <w:rFonts w:hint="eastAsia" w:ascii="宋体" w:hAnsi="宋体" w:eastAsia="宋体" w:cs="宋体"/>
        <w:b/>
        <w:bCs/>
        <w:color w:val="005192"/>
        <w:sz w:val="28"/>
        <w:szCs w:val="28"/>
        <w:lang w:val="en-US" w:eastAsia="zh-CN"/>
      </w:rPr>
      <w:t>发布</w:t>
    </w:r>
    <w:r>
      <w:rPr>
        <w:rFonts w:hint="eastAsia" w:ascii="宋体" w:hAnsi="宋体" w:cs="宋体"/>
        <w:b/>
        <w:bCs/>
        <w:color w:val="0000FF"/>
        <w:sz w:val="28"/>
        <w:szCs w:val="28"/>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lang w:eastAsia="zh-CN"/>
      </w:rPr>
      <w:t>晋城</w:t>
    </w:r>
    <w:r>
      <w:rPr>
        <w:rFonts w:hint="eastAsia" w:ascii="宋体" w:hAnsi="宋体" w:cs="宋体"/>
        <w:b/>
        <w:bCs/>
        <w:color w:val="005192"/>
        <w:sz w:val="32"/>
        <w:szCs w:val="32"/>
        <w:lang w:val="en-US" w:eastAsia="zh-CN"/>
      </w:rPr>
      <w:t>市人民政府</w:t>
    </w:r>
    <w:r>
      <w:rPr>
        <w:rFonts w:hint="eastAsia" w:ascii="宋体" w:hAnsi="宋体" w:eastAsia="宋体" w:cs="宋体"/>
        <w:b/>
        <w:bCs/>
        <w:color w:val="005192"/>
        <w:sz w:val="32"/>
        <w:szCs w:val="32"/>
        <w:lang w:val="en-US" w:eastAsia="zh-CN"/>
      </w:rPr>
      <w:t>规章</w: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lang w:val="en-US" w:eastAsia="zh-CN"/>
      </w:rPr>
    </w:pPr>
    <w:r>
      <w:rPr>
        <w:rFonts w:hint="eastAsia" w:ascii="宋体" w:hAnsi="宋体" w:eastAsia="宋体" w:cs="宋体"/>
        <w:b/>
        <w:bCs/>
        <w:color w:val="005192"/>
        <w:sz w:val="32"/>
      </w:rPr>
      <mc:AlternateContent>
        <mc:Choice Requires="wps">
          <w:drawing>
            <wp:anchor distT="0" distB="0" distL="114300" distR="114300" simplePos="0" relativeHeight="251661312" behindDoc="0" locked="0" layoutInCell="1" allowOverlap="1">
              <wp:simplePos x="0" y="0"/>
              <wp:positionH relativeFrom="column">
                <wp:posOffset>-22860</wp:posOffset>
              </wp:positionH>
              <wp:positionV relativeFrom="paragraph">
                <wp:posOffset>112395</wp:posOffset>
              </wp:positionV>
              <wp:extent cx="5620385" cy="0"/>
              <wp:effectExtent l="0" t="10795" r="18415" b="17780"/>
              <wp:wrapNone/>
              <wp:docPr id="3" name="直接连接符 3"/>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8pt;margin-top:8.85pt;height:0pt;width:442.55pt;z-index:251661312;mso-width-relative:page;mso-height-relative:page;" filled="f" stroked="t" coordsize="21600,21600" o:gfxdata="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BhDolzTAAAACAEA&#10;AA8AAAAAAAAAAQAgAAAAIgAAAGRycy9kb3ducmV2LnhtbFBLAQIUABQAAAAIAIdO4kAy4RJ15gEA&#10;AKYDAAAOAAAAAAAAAAEAIAAAACIBAABkcnMvZTJvRG9jLnhtbFBLBQYAAAAABgAGAFkBAAB6BQAA&#10;AAA=&#10;">
              <v:fill on="f" focussize="0,0"/>
              <v:stroke weight="1.75pt" color="#005192 [3204]" joinstyle="round"/>
              <v:imagedata o:title=""/>
              <o:lock v:ext="edit" aspectratio="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FEFD0F4"/>
    <w:rsid w:val="003445D6"/>
    <w:rsid w:val="00513497"/>
    <w:rsid w:val="01B81B1F"/>
    <w:rsid w:val="06E035B6"/>
    <w:rsid w:val="07F672AE"/>
    <w:rsid w:val="0A0465D5"/>
    <w:rsid w:val="0B57642E"/>
    <w:rsid w:val="0C205657"/>
    <w:rsid w:val="0C2410E0"/>
    <w:rsid w:val="0FFF5B13"/>
    <w:rsid w:val="136C4E31"/>
    <w:rsid w:val="14E629C1"/>
    <w:rsid w:val="19F83D95"/>
    <w:rsid w:val="1D1F3F99"/>
    <w:rsid w:val="20B515F3"/>
    <w:rsid w:val="2127683B"/>
    <w:rsid w:val="21F01545"/>
    <w:rsid w:val="31293F09"/>
    <w:rsid w:val="33274478"/>
    <w:rsid w:val="41831BC8"/>
    <w:rsid w:val="42D30464"/>
    <w:rsid w:val="456B28EB"/>
    <w:rsid w:val="47DD71EB"/>
    <w:rsid w:val="4BA0310B"/>
    <w:rsid w:val="4C0C2208"/>
    <w:rsid w:val="4C2F09D5"/>
    <w:rsid w:val="4C704308"/>
    <w:rsid w:val="52591377"/>
    <w:rsid w:val="52BF509F"/>
    <w:rsid w:val="552D4229"/>
    <w:rsid w:val="580E15DF"/>
    <w:rsid w:val="581F7434"/>
    <w:rsid w:val="58871B30"/>
    <w:rsid w:val="61077514"/>
    <w:rsid w:val="62B47227"/>
    <w:rsid w:val="64A85D06"/>
    <w:rsid w:val="653603C7"/>
    <w:rsid w:val="6A105073"/>
    <w:rsid w:val="6E097B0B"/>
    <w:rsid w:val="6E746C58"/>
    <w:rsid w:val="6F2D493A"/>
    <w:rsid w:val="6F7E7426"/>
    <w:rsid w:val="75947170"/>
    <w:rsid w:val="789B4FF7"/>
    <w:rsid w:val="79D067B6"/>
    <w:rsid w:val="7C86358B"/>
    <w:rsid w:val="7D2E03D4"/>
    <w:rsid w:val="7FC27F23"/>
    <w:rsid w:val="BFEFD0F4"/>
    <w:rsid w:val="F7EA7B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2740</Words>
  <Characters>2743</Characters>
  <Lines>0</Lines>
  <Paragraphs>0</Paragraphs>
  <TotalTime>7</TotalTime>
  <ScaleCrop>false</ScaleCrop>
  <LinksUpToDate>false</LinksUpToDate>
  <CharactersWithSpaces>2897</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2021-11-03T09:35:00Z</dcterms:created>
  <dc:creator>dt</dc:creator>
  <cp:lastModifiedBy>Administrator</cp:lastModifiedBy>
  <dcterms:modified xsi:type="dcterms:W3CDTF">2022-01-14T08:41:15Z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B76E02E3F9334422829E81548108005A</vt:lpwstr>
  </property>
</Properties>
</file>