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GoBack"/>
      <w:bookmarkEnd w:id="0"/>
      <w:r>
        <w:rPr>
          <w:rFonts w:hint="eastAsia" w:ascii="黑体" w:hAnsi="黑体" w:eastAsia="黑体"/>
          <w:sz w:val="32"/>
          <w:szCs w:val="32"/>
        </w:rPr>
        <w:t>附件2</w:t>
      </w:r>
    </w:p>
    <w:p>
      <w:pPr>
        <w:jc w:val="center"/>
        <w:rPr>
          <w:rFonts w:hint="default" w:ascii="方正小标宋简体" w:eastAsia="方正小标宋简体"/>
          <w:sz w:val="44"/>
          <w:szCs w:val="44"/>
        </w:rPr>
      </w:pPr>
      <w:r>
        <w:rPr>
          <w:rFonts w:hint="eastAsia" w:ascii="方正小标宋简体" w:hAnsi="宋体" w:eastAsia="方正小标宋简体" w:cs="宋体"/>
          <w:kern w:val="0"/>
          <w:sz w:val="44"/>
          <w:szCs w:val="44"/>
          <w:lang w:eastAsia="zh-CN"/>
        </w:rPr>
        <w:t>晋城市工业和信息化局</w:t>
      </w:r>
      <w:r>
        <w:rPr>
          <w:rFonts w:hint="eastAsia" w:ascii="方正小标宋简体" w:hAnsi="宋体" w:eastAsia="方正小标宋简体" w:cs="宋体"/>
          <w:kern w:val="0"/>
          <w:sz w:val="44"/>
          <w:szCs w:val="44"/>
        </w:rPr>
        <w:t>重点任务分解</w:t>
      </w:r>
      <w:r>
        <w:rPr>
          <w:rFonts w:hint="default" w:ascii="方正小标宋简体" w:hAnsi="宋体" w:eastAsia="方正小标宋简体" w:cs="宋体"/>
          <w:kern w:val="0"/>
          <w:sz w:val="44"/>
          <w:szCs w:val="44"/>
        </w:rPr>
        <w:t>清单</w:t>
      </w:r>
    </w:p>
    <w:tbl>
      <w:tblPr>
        <w:tblStyle w:val="2"/>
        <w:tblW w:w="13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5103"/>
        <w:gridCol w:w="1829"/>
        <w:gridCol w:w="1714"/>
        <w:gridCol w:w="1539"/>
        <w:gridCol w:w="2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19"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序号</w:t>
            </w:r>
          </w:p>
        </w:tc>
        <w:tc>
          <w:tcPr>
            <w:tcW w:w="5103"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时间节点及工作目标</w:t>
            </w:r>
          </w:p>
        </w:tc>
        <w:tc>
          <w:tcPr>
            <w:tcW w:w="1829"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分管领导</w:t>
            </w:r>
          </w:p>
        </w:tc>
        <w:tc>
          <w:tcPr>
            <w:tcW w:w="1714"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责任科室</w:t>
            </w:r>
          </w:p>
        </w:tc>
        <w:tc>
          <w:tcPr>
            <w:tcW w:w="1539"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责任人</w:t>
            </w:r>
          </w:p>
        </w:tc>
        <w:tc>
          <w:tcPr>
            <w:tcW w:w="2239" w:type="dxa"/>
            <w:noWrap w:val="0"/>
            <w:vAlign w:val="center"/>
          </w:tcPr>
          <w:p>
            <w:pPr>
              <w:widowControl/>
              <w:jc w:val="center"/>
              <w:rPr>
                <w:rFonts w:hint="eastAsia" w:ascii="黑体" w:hAnsi="黑体" w:eastAsia="黑体" w:cs="宋体"/>
                <w:kern w:val="0"/>
                <w:sz w:val="24"/>
              </w:rPr>
            </w:pPr>
            <w:r>
              <w:rPr>
                <w:rFonts w:hint="eastAsia" w:ascii="黑体" w:hAnsi="黑体" w:eastAsia="黑体" w:cs="宋体"/>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719" w:type="dxa"/>
            <w:noWrap w:val="0"/>
            <w:vAlign w:val="center"/>
          </w:tcPr>
          <w:p>
            <w:pPr>
              <w:widowControl/>
              <w:jc w:val="center"/>
              <w:rPr>
                <w:rFonts w:hint="eastAsia" w:ascii="楷体_GB2312" w:hAnsi="宋体" w:eastAsia="楷体_GB2312" w:cs="宋体"/>
                <w:kern w:val="0"/>
                <w:sz w:val="24"/>
              </w:rPr>
            </w:pPr>
            <w:r>
              <w:rPr>
                <w:rFonts w:hint="eastAsia" w:ascii="楷体_GB2312" w:hAnsi="宋体" w:eastAsia="楷体_GB2312" w:cs="宋体"/>
                <w:kern w:val="0"/>
                <w:sz w:val="24"/>
              </w:rPr>
              <w:t>1</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rPr>
              <w:t>各级、各部门主要负责人年内至少听取一次政务公开工作汇报，并将政务公开作为清廉山西建设和法治政府建设的重要内容进行安排部署。</w:t>
            </w:r>
          </w:p>
        </w:tc>
        <w:tc>
          <w:tcPr>
            <w:tcW w:w="182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default" w:ascii="仿宋_GB2312" w:hAnsi="宋体" w:eastAsia="仿宋_GB2312" w:cs="宋体"/>
                <w:kern w:val="0"/>
                <w:sz w:val="24"/>
                <w:lang w:val="en-US" w:eastAsia="zh-CN"/>
              </w:rPr>
            </w:pPr>
            <w:r>
              <w:rPr>
                <w:rFonts w:hint="default" w:ascii="仿宋_GB2312" w:hAnsi="宋体" w:eastAsia="仿宋_GB2312" w:cs="宋体"/>
                <w:kern w:val="0"/>
                <w:sz w:val="24"/>
                <w:lang w:val="en-US" w:eastAsia="zh-CN"/>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6" w:hRule="atLeast"/>
          <w:jc w:val="center"/>
        </w:trPr>
        <w:tc>
          <w:tcPr>
            <w:tcW w:w="719" w:type="dxa"/>
            <w:noWrap w:val="0"/>
            <w:vAlign w:val="center"/>
          </w:tcPr>
          <w:p>
            <w:pPr>
              <w:widowControl/>
              <w:jc w:val="center"/>
              <w:rPr>
                <w:rFonts w:hint="eastAsia" w:ascii="楷体_GB2312" w:hAnsi="宋体" w:eastAsia="楷体_GB2312" w:cs="宋体"/>
                <w:kern w:val="0"/>
                <w:sz w:val="24"/>
              </w:rPr>
            </w:pPr>
            <w:r>
              <w:rPr>
                <w:rFonts w:hint="eastAsia" w:ascii="楷体_GB2312" w:hAnsi="宋体" w:eastAsia="楷体_GB2312" w:cs="宋体"/>
                <w:kern w:val="0"/>
                <w:sz w:val="24"/>
              </w:rPr>
              <w:t>2</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rPr>
              <w:t>国家和省级政务公开工作年度要点落实情况要纳入各单位政府信息公开工作年度报告予以公开，接受社会监督。</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719" w:type="dxa"/>
            <w:noWrap w:val="0"/>
            <w:vAlign w:val="center"/>
          </w:tcPr>
          <w:p>
            <w:pPr>
              <w:widowControl/>
              <w:jc w:val="center"/>
              <w:rPr>
                <w:rFonts w:hint="eastAsia" w:ascii="楷体_GB2312" w:hAnsi="宋体" w:eastAsia="楷体_GB2312" w:cs="宋体"/>
                <w:kern w:val="0"/>
                <w:sz w:val="24"/>
              </w:rPr>
            </w:pPr>
            <w:r>
              <w:rPr>
                <w:rFonts w:hint="eastAsia" w:ascii="楷体_GB2312" w:hAnsi="宋体" w:eastAsia="楷体_GB2312" w:cs="宋体"/>
                <w:kern w:val="0"/>
                <w:sz w:val="24"/>
              </w:rPr>
              <w:t>3</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政策执行机关和其他社会组织及个人在政策落实中既不能打折扣、搞变通，也不能乱加码、做选择，更不能随意出台违背政策初衷或超越政策框架的“土政策”。</w:t>
            </w:r>
          </w:p>
        </w:tc>
        <w:tc>
          <w:tcPr>
            <w:tcW w:w="182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719" w:type="dxa"/>
            <w:noWrap w:val="0"/>
            <w:vAlign w:val="center"/>
          </w:tcPr>
          <w:p>
            <w:pPr>
              <w:widowControl/>
              <w:jc w:val="center"/>
              <w:rPr>
                <w:rFonts w:hint="eastAsia" w:ascii="楷体_GB2312" w:hAnsi="宋体" w:eastAsia="楷体_GB2312" w:cs="宋体"/>
                <w:kern w:val="0"/>
                <w:sz w:val="24"/>
              </w:rPr>
            </w:pPr>
            <w:r>
              <w:rPr>
                <w:rFonts w:hint="eastAsia" w:ascii="楷体_GB2312" w:hAnsi="宋体" w:eastAsia="楷体_GB2312" w:cs="宋体"/>
                <w:kern w:val="0"/>
                <w:sz w:val="24"/>
              </w:rPr>
              <w:t>4</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行政机关对已发布政令的执行情况负有监管责任，对所辖区域、领域的政策执行情况应及时掌握并向社会通报。</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719" w:type="dxa"/>
            <w:noWrap w:val="0"/>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5</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发挥政府网站作为政务公开第一平台作用。行政机关须主动公开的各类文件、通告、公示、清单等权威信息，应确保在政府网站首发。</w:t>
            </w:r>
          </w:p>
        </w:tc>
        <w:tc>
          <w:tcPr>
            <w:tcW w:w="182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信息化科</w:t>
            </w:r>
          </w:p>
        </w:tc>
        <w:tc>
          <w:tcPr>
            <w:tcW w:w="153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延</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娜</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18735614098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719" w:type="dxa"/>
            <w:noWrap w:val="0"/>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6</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不得以新闻报道、新闻播报的方式代替政府网站的权威政令发布。</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信息化科</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延</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娜</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18735614098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jc w:val="center"/>
        </w:trPr>
        <w:tc>
          <w:tcPr>
            <w:tcW w:w="719" w:type="dxa"/>
            <w:noWrap w:val="0"/>
            <w:vAlign w:val="center"/>
          </w:tcPr>
          <w:p>
            <w:pPr>
              <w:widowControl/>
              <w:jc w:val="center"/>
              <w:rPr>
                <w:rFonts w:ascii="楷体_GB2312" w:hAnsi="宋体" w:eastAsia="楷体_GB2312" w:cs="宋体"/>
                <w:kern w:val="0"/>
                <w:sz w:val="24"/>
              </w:rPr>
            </w:pPr>
            <w:r>
              <w:rPr>
                <w:rFonts w:ascii="楷体_GB2312" w:hAnsi="宋体" w:eastAsia="楷体_GB2312" w:cs="宋体"/>
                <w:kern w:val="0"/>
                <w:sz w:val="24"/>
              </w:rPr>
              <w:t>7</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highlight w:val="none"/>
              </w:rPr>
              <w:t>推进“应知尽知”，充分利用多种平台、采用多种方式开展政策发布和宣传工作，提高政策知晓度和到达率情况。</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产业政策科</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鹂</w:t>
            </w:r>
          </w:p>
        </w:tc>
        <w:tc>
          <w:tcPr>
            <w:tcW w:w="2239" w:type="dxa"/>
            <w:noWrap w:val="0"/>
            <w:vAlign w:val="center"/>
          </w:tcPr>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13633560851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jc w:val="center"/>
        </w:trPr>
        <w:tc>
          <w:tcPr>
            <w:tcW w:w="719" w:type="dxa"/>
            <w:noWrap w:val="0"/>
            <w:vAlign w:val="center"/>
          </w:tcPr>
          <w:p>
            <w:pPr>
              <w:widowControl/>
              <w:jc w:val="center"/>
              <w:rPr>
                <w:rFonts w:hint="eastAsia"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8</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对上一年度政务公开工作任务要开展“回头看”，不及时整改或整改不力的情况应纳入下一年度工作考核继续督促落实，防止“新年不理旧账”。</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0" w:hRule="atLeast"/>
          <w:jc w:val="center"/>
        </w:trPr>
        <w:tc>
          <w:tcPr>
            <w:tcW w:w="719" w:type="dxa"/>
            <w:noWrap w:val="0"/>
            <w:vAlign w:val="center"/>
          </w:tcPr>
          <w:p>
            <w:pPr>
              <w:widowControl/>
              <w:jc w:val="center"/>
              <w:rPr>
                <w:rFonts w:hint="eastAsia"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9</w:t>
            </w:r>
          </w:p>
        </w:tc>
        <w:tc>
          <w:tcPr>
            <w:tcW w:w="5103" w:type="dxa"/>
            <w:noWrap w:val="0"/>
            <w:vAlign w:val="center"/>
          </w:tcPr>
          <w:p>
            <w:pPr>
              <w:widowControl/>
              <w:spacing w:line="26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全面推进覆盖政务运行全过程的决策、执行、管理、服务、结果“五公开”。</w:t>
            </w:r>
          </w:p>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相</w:t>
            </w:r>
            <w:r>
              <w:rPr>
                <w:rFonts w:hint="eastAsia" w:ascii="仿宋_GB2312" w:hAnsi="宋体" w:eastAsia="仿宋_GB2312" w:cs="宋体"/>
                <w:spacing w:val="-6"/>
                <w:kern w:val="0"/>
                <w:sz w:val="22"/>
                <w:szCs w:val="22"/>
              </w:rPr>
              <w:t>关法律、法规、规章和政策性文件要求履行公开、开放、披露、告知、承诺、出示、公示、听证、解读、咨询、回应、身着制式服装和佩戴标识、设立明显标志标识、公布草案、公开征求意见、公布并动态更新各类清单目录和开设咨询、投诉、举报、反映问题渠道等义务的，必须严格按规定履行法定公开义务，以“五公开”保障依法行政各项要求全面落实。</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2"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10</w:t>
            </w:r>
          </w:p>
        </w:tc>
        <w:tc>
          <w:tcPr>
            <w:tcW w:w="5103" w:type="dxa"/>
            <w:noWrap w:val="0"/>
            <w:vAlign w:val="center"/>
          </w:tcPr>
          <w:p>
            <w:pPr>
              <w:widowControl/>
              <w:spacing w:line="26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1</w:t>
            </w:r>
            <w:r>
              <w:rPr>
                <w:rFonts w:hint="default" w:ascii="仿宋_GB2312" w:hAnsi="宋体" w:eastAsia="仿宋_GB2312" w:cs="宋体"/>
                <w:kern w:val="0"/>
                <w:sz w:val="22"/>
                <w:szCs w:val="22"/>
              </w:rPr>
              <w:t>.</w:t>
            </w:r>
            <w:r>
              <w:rPr>
                <w:rFonts w:hint="eastAsia" w:ascii="仿宋_GB2312" w:hAnsi="宋体" w:eastAsia="仿宋_GB2312" w:cs="宋体"/>
                <w:kern w:val="0"/>
                <w:sz w:val="22"/>
                <w:szCs w:val="22"/>
              </w:rPr>
              <w:t>教育、卫生健康、养老服务、儿童福利、救助管理、殡葬、供水、供气、供热、环境保护、公共交通、国资国企等领域的市、县两级行政主管部门参照省级主管部门发布的清单制定本级公布公共企事业单位主动公开事项清单，并在政府网站开设公共企事业单位信息公开专栏进行公开。</w:t>
            </w:r>
          </w:p>
          <w:p>
            <w:pPr>
              <w:widowControl/>
              <w:spacing w:line="260" w:lineRule="exact"/>
              <w:rPr>
                <w:rFonts w:hint="eastAsia" w:ascii="仿宋_GB2312" w:hAnsi="宋体" w:eastAsia="仿宋_GB2312" w:cs="宋体"/>
                <w:kern w:val="0"/>
                <w:sz w:val="22"/>
                <w:szCs w:val="22"/>
              </w:rPr>
            </w:pPr>
            <w:r>
              <w:rPr>
                <w:rFonts w:hint="eastAsia" w:ascii="仿宋_GB2312" w:hAnsi="宋体" w:eastAsia="仿宋_GB2312" w:cs="宋体"/>
                <w:kern w:val="0"/>
                <w:sz w:val="22"/>
                <w:szCs w:val="22"/>
              </w:rPr>
              <w:t>2</w:t>
            </w:r>
            <w:r>
              <w:rPr>
                <w:rFonts w:hint="default" w:ascii="仿宋_GB2312" w:hAnsi="宋体" w:eastAsia="仿宋_GB2312" w:cs="宋体"/>
                <w:kern w:val="0"/>
                <w:sz w:val="22"/>
                <w:szCs w:val="22"/>
              </w:rPr>
              <w:t>.</w:t>
            </w:r>
            <w:r>
              <w:rPr>
                <w:rFonts w:hint="eastAsia" w:ascii="仿宋_GB2312" w:hAnsi="宋体" w:eastAsia="仿宋_GB2312" w:cs="宋体"/>
                <w:kern w:val="0"/>
                <w:sz w:val="22"/>
                <w:szCs w:val="22"/>
              </w:rPr>
              <w:t>主动公开事项清单应当与相应公开事项、内容关联公布。公共企事业单位有自己的微信公众号、微博、工作群组等新媒体公开平台，或信息公示公告栏、电子显示屏等线下公开平台的，应当同步发布。</w:t>
            </w:r>
          </w:p>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rPr>
              <w:t>3</w:t>
            </w:r>
            <w:r>
              <w:rPr>
                <w:rFonts w:hint="default" w:ascii="仿宋_GB2312" w:hAnsi="宋体" w:eastAsia="仿宋_GB2312" w:cs="宋体"/>
                <w:kern w:val="0"/>
                <w:sz w:val="22"/>
                <w:szCs w:val="22"/>
              </w:rPr>
              <w:t>.</w:t>
            </w:r>
            <w:r>
              <w:rPr>
                <w:rFonts w:hint="eastAsia" w:ascii="仿宋_GB2312" w:hAnsi="宋体" w:eastAsia="仿宋_GB2312" w:cs="宋体"/>
                <w:kern w:val="0"/>
                <w:sz w:val="22"/>
                <w:szCs w:val="22"/>
              </w:rPr>
              <w:t>相关公共企事业单位向主管行政机关信息报送及时、事项公布及时、内容完整准确，并设立了历史信息查询渠道和监督电话等问题反映渠道，履行公共职能公开透明，社会效果好，无相关舆情或问题线索被查实的，每个领域给相应市级主管行政机关加分。</w:t>
            </w:r>
          </w:p>
        </w:tc>
        <w:tc>
          <w:tcPr>
            <w:tcW w:w="1829" w:type="dxa"/>
            <w:noWrap w:val="0"/>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eastAsia="zh-CN"/>
              </w:rPr>
              <w:t>靳海峰</w:t>
            </w:r>
            <w:r>
              <w:rPr>
                <w:rFonts w:hint="eastAsia" w:ascii="仿宋_GB2312" w:hAnsi="宋体" w:eastAsia="仿宋_GB2312" w:cs="宋体"/>
                <w:kern w:val="0"/>
                <w:sz w:val="24"/>
                <w:lang w:val="en-US" w:eastAsia="zh-CN"/>
              </w:rPr>
              <w:t xml:space="preserve"> </w:t>
            </w:r>
          </w:p>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连陆军</w:t>
            </w:r>
          </w:p>
          <w:p>
            <w:pPr>
              <w:widowControl/>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元玉霞</w:t>
            </w:r>
          </w:p>
        </w:tc>
        <w:tc>
          <w:tcPr>
            <w:tcW w:w="1714"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企业改革科</w:t>
            </w:r>
          </w:p>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产权和资产</w:t>
            </w:r>
          </w:p>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经营科</w:t>
            </w:r>
          </w:p>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考核分配科</w:t>
            </w:r>
          </w:p>
        </w:tc>
        <w:tc>
          <w:tcPr>
            <w:tcW w:w="153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郝良江</w:t>
            </w:r>
          </w:p>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金列文</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晖</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15835620503</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13935600116</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13403569856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11</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rPr>
              <w:t>利用传统方式和手段开展多样化、个性化、精准化政务公开工作，开展“送政策上门”。</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12</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rPr>
              <w:t>行政审批中介服务事项清单</w:t>
            </w:r>
            <w:r>
              <w:rPr>
                <w:rFonts w:ascii="仿宋_GB2312" w:hAnsi="宋体" w:eastAsia="仿宋_GB2312" w:cs="宋体"/>
                <w:kern w:val="0"/>
                <w:sz w:val="22"/>
                <w:szCs w:val="22"/>
              </w:rPr>
              <w:t>。</w:t>
            </w:r>
          </w:p>
        </w:tc>
        <w:tc>
          <w:tcPr>
            <w:tcW w:w="182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靳海峰</w:t>
            </w:r>
          </w:p>
        </w:tc>
        <w:tc>
          <w:tcPr>
            <w:tcW w:w="1714"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人事教育科</w:t>
            </w:r>
          </w:p>
        </w:tc>
        <w:tc>
          <w:tcPr>
            <w:tcW w:w="153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申雪芬</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13835603723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13</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highlight w:val="none"/>
              </w:rPr>
              <w:t>涉企保证金目录清单及时公布并动态调整</w:t>
            </w:r>
            <w:r>
              <w:rPr>
                <w:rFonts w:ascii="仿宋_GB2312" w:hAnsi="宋体" w:eastAsia="仿宋_GB2312" w:cs="宋体"/>
                <w:kern w:val="0"/>
                <w:sz w:val="22"/>
                <w:szCs w:val="22"/>
                <w:highlight w:val="none"/>
              </w:rPr>
              <w:t>。</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产业政策科</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鹂</w:t>
            </w:r>
          </w:p>
        </w:tc>
        <w:tc>
          <w:tcPr>
            <w:tcW w:w="223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13633560851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14</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黑体" w:eastAsia="仿宋_GB2312" w:cs="宋体"/>
                <w:kern w:val="0"/>
                <w:sz w:val="22"/>
                <w:szCs w:val="22"/>
              </w:rPr>
              <w:t>国有产权交易领域信息公开</w:t>
            </w:r>
            <w:r>
              <w:rPr>
                <w:rFonts w:ascii="仿宋_GB2312" w:hAnsi="黑体" w:eastAsia="仿宋_GB2312" w:cs="宋体"/>
                <w:kern w:val="0"/>
                <w:sz w:val="22"/>
                <w:szCs w:val="22"/>
              </w:rPr>
              <w:t>。</w:t>
            </w:r>
          </w:p>
        </w:tc>
        <w:tc>
          <w:tcPr>
            <w:tcW w:w="182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连陆军</w:t>
            </w:r>
          </w:p>
        </w:tc>
        <w:tc>
          <w:tcPr>
            <w:tcW w:w="1714"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产权和资产</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经营科</w:t>
            </w:r>
          </w:p>
        </w:tc>
        <w:tc>
          <w:tcPr>
            <w:tcW w:w="153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金列文</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13935600116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15</w:t>
            </w:r>
          </w:p>
        </w:tc>
        <w:tc>
          <w:tcPr>
            <w:tcW w:w="5103" w:type="dxa"/>
            <w:noWrap w:val="0"/>
            <w:vAlign w:val="center"/>
          </w:tcPr>
          <w:p>
            <w:pPr>
              <w:widowControl/>
              <w:rPr>
                <w:rFonts w:hint="eastAsia" w:ascii="仿宋_GB2312" w:hAnsi="宋体" w:eastAsia="仿宋_GB2312" w:cs="宋体"/>
                <w:kern w:val="0"/>
                <w:sz w:val="24"/>
              </w:rPr>
            </w:pPr>
            <w:r>
              <w:rPr>
                <w:rFonts w:hint="eastAsia" w:ascii="仿宋_GB2312" w:hAnsi="宋体" w:eastAsia="仿宋_GB2312" w:cs="宋体"/>
                <w:kern w:val="0"/>
                <w:sz w:val="22"/>
                <w:szCs w:val="22"/>
              </w:rPr>
              <w:t>做好拟发公文公开属性认定，应公开尽公开</w:t>
            </w:r>
            <w:r>
              <w:rPr>
                <w:rFonts w:ascii="仿宋_GB2312" w:hAnsi="宋体" w:eastAsia="仿宋_GB2312" w:cs="宋体"/>
                <w:kern w:val="0"/>
                <w:sz w:val="22"/>
                <w:szCs w:val="22"/>
              </w:rPr>
              <w:t>。</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16</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行政规范性文件要在文件正文末尾注明文件实施日期及有效期限，其中实施日期应当是印发之日起30</w:t>
            </w:r>
            <w:r>
              <w:rPr>
                <w:rFonts w:ascii="仿宋_GB2312" w:hAnsi="宋体" w:eastAsia="仿宋_GB2312" w:cs="宋体"/>
                <w:kern w:val="0"/>
                <w:sz w:val="22"/>
                <w:szCs w:val="22"/>
              </w:rPr>
              <w:t>日</w:t>
            </w:r>
            <w:r>
              <w:rPr>
                <w:rFonts w:hint="eastAsia" w:ascii="仿宋_GB2312" w:hAnsi="宋体" w:eastAsia="仿宋_GB2312" w:cs="宋体"/>
                <w:kern w:val="0"/>
                <w:sz w:val="22"/>
                <w:szCs w:val="22"/>
              </w:rPr>
              <w:t>后的日期。以各级政府、政府办公厅（室）名义制发的政策性文件及规范性文件，要在文件正文末尾注明本文解读主体。</w:t>
            </w:r>
          </w:p>
        </w:tc>
        <w:tc>
          <w:tcPr>
            <w:tcW w:w="182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17</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鼓励条件成熟的行政机关以“规”字发文代字对行政规范性文件进行统一编号。暂未能以“规”字进行统一编号的，要明确限定行政规范性文件的发文代字，为集中统一公示和规范审查清理打下坚实基础。</w:t>
            </w:r>
          </w:p>
        </w:tc>
        <w:tc>
          <w:tcPr>
            <w:tcW w:w="182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18</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制定机关应当及时公布继续有效、废止和失效的行政规范性文件目录。</w:t>
            </w:r>
          </w:p>
        </w:tc>
        <w:tc>
          <w:tcPr>
            <w:tcW w:w="182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19</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行政规范性文件不得以内部文件形式印发执行，未向社会公布的，不得作为行政管理的依据。</w:t>
            </w:r>
          </w:p>
        </w:tc>
        <w:tc>
          <w:tcPr>
            <w:tcW w:w="182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卢瑞莲</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20</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政府信息公开答复书应当具备答复书标题、答复书字号、申请人（自然人或法人）名称、收到申请的日期、答复的事实依据及法律依据、法定救济途径告知、答复行政机关印章（或政府信息公开专用章）和答复日期等形式要件。</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21</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要充分运用便民答复、直接沟通等手段，做好政府信息公开服务，切实保障人民群众知情权。</w:t>
            </w:r>
          </w:p>
        </w:tc>
        <w:tc>
          <w:tcPr>
            <w:tcW w:w="182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jc w:val="center"/>
        </w:trPr>
        <w:tc>
          <w:tcPr>
            <w:tcW w:w="719" w:type="dxa"/>
            <w:noWrap w:val="0"/>
            <w:vAlign w:val="center"/>
          </w:tcPr>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22</w:t>
            </w:r>
          </w:p>
        </w:tc>
        <w:tc>
          <w:tcPr>
            <w:tcW w:w="5103" w:type="dxa"/>
            <w:noWrap w:val="0"/>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各级政府政务公开主管部门要求在门户网站公开的信息，责任单位必须按要求提供，并做好内容更新维护。</w:t>
            </w:r>
          </w:p>
        </w:tc>
        <w:tc>
          <w:tcPr>
            <w:tcW w:w="182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1714"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1539" w:type="dxa"/>
            <w:noWrap w:val="0"/>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2239" w:type="dxa"/>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0" w:type="auto"/>
          </w:tcPr>
          <w:p>
            <w:pPr>
              <w:widowControl/>
              <w:jc w:val="center"/>
              <w:rPr>
                <w:rFonts w:hint="eastAsia" w:ascii="楷体_GB2312" w:hAnsi="宋体" w:eastAsia="楷体_GB2312" w:cs="宋体"/>
                <w:kern w:val="0"/>
                <w:sz w:val="24"/>
                <w:lang w:val="en-US" w:eastAsia="zh-CN"/>
              </w:rPr>
            </w:pPr>
          </w:p>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23</w:t>
            </w:r>
          </w:p>
        </w:tc>
        <w:tc>
          <w:tcPr>
            <w:tcW w:w="0" w:type="auto"/>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11月底前各级行政机关要完成对政府网站中时宜提法、时宜内容的清理工作，其中属于法定主动公开内容的事项视情归入其他栏目或历史库。</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0" w:type="auto"/>
          </w:tcPr>
          <w:p>
            <w:pPr>
              <w:widowControl/>
              <w:jc w:val="center"/>
              <w:rPr>
                <w:rFonts w:hint="eastAsia" w:ascii="仿宋_GB2312" w:hAnsi="宋体" w:eastAsia="仿宋_GB2312" w:cs="宋体"/>
                <w:kern w:val="0"/>
                <w:sz w:val="24"/>
              </w:rPr>
            </w:pP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0" w:type="auto"/>
          </w:tcPr>
          <w:p>
            <w:pPr>
              <w:widowControl/>
              <w:jc w:val="center"/>
              <w:rPr>
                <w:rFonts w:ascii="楷体_GB2312" w:hAnsi="宋体" w:eastAsia="楷体_GB2312" w:cs="宋体"/>
                <w:kern w:val="0"/>
                <w:sz w:val="24"/>
              </w:rPr>
            </w:pPr>
          </w:p>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24</w:t>
            </w:r>
          </w:p>
        </w:tc>
        <w:tc>
          <w:tcPr>
            <w:tcW w:w="0" w:type="auto"/>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不同栏目或线上线下有同样公开事项的，要保证同源发布、同步更新，防止出现不同版本。</w:t>
            </w:r>
          </w:p>
        </w:tc>
        <w:tc>
          <w:tcPr>
            <w:tcW w:w="0" w:type="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卢瑞莲</w:t>
            </w:r>
          </w:p>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杨建平</w:t>
            </w:r>
          </w:p>
        </w:tc>
        <w:tc>
          <w:tcPr>
            <w:tcW w:w="0" w:type="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信息化科</w:t>
            </w:r>
          </w:p>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0" w:type="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eastAsia="zh-CN"/>
              </w:rPr>
              <w:t>延</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娜</w:t>
            </w:r>
          </w:p>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0" w:type="auto"/>
          </w:tcPr>
          <w:p>
            <w:pPr>
              <w:widowControl/>
              <w:jc w:val="center"/>
              <w:rPr>
                <w:rFonts w:hint="eastAsia" w:ascii="仿宋_GB2312" w:hAnsi="宋体" w:eastAsia="仿宋_GB2312" w:cs="宋体"/>
                <w:kern w:val="0"/>
                <w:sz w:val="24"/>
              </w:rPr>
            </w:pP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18735614098</w:t>
            </w:r>
          </w:p>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p>
            <w:pPr>
              <w:widowControl/>
              <w:jc w:val="center"/>
              <w:rPr>
                <w:rFonts w:hint="eastAsia"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0" w:type="auto"/>
          </w:tcPr>
          <w:p>
            <w:pPr>
              <w:widowControl/>
              <w:jc w:val="center"/>
              <w:rPr>
                <w:rFonts w:ascii="楷体_GB2312" w:hAnsi="宋体" w:eastAsia="楷体_GB2312" w:cs="宋体"/>
                <w:kern w:val="0"/>
                <w:sz w:val="24"/>
              </w:rPr>
            </w:pPr>
          </w:p>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25</w:t>
            </w:r>
          </w:p>
        </w:tc>
        <w:tc>
          <w:tcPr>
            <w:tcW w:w="0" w:type="auto"/>
            <w:vAlign w:val="center"/>
          </w:tcPr>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依据相关法律法规规章或国家政策设立的各类公开查询平台或途径，举报、投诉渠道，接听需要畅通、受理及时。</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卢瑞莲</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0" w:type="auto"/>
            <w:vAlign w:val="center"/>
          </w:tcPr>
          <w:p>
            <w:pPr>
              <w:widowControl/>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rPr>
              <w:t>18735601982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0" w:type="auto"/>
          </w:tcPr>
          <w:p>
            <w:pPr>
              <w:widowControl/>
              <w:jc w:val="center"/>
              <w:rPr>
                <w:rFonts w:ascii="楷体_GB2312" w:hAnsi="宋体" w:eastAsia="楷体_GB2312" w:cs="宋体"/>
                <w:kern w:val="0"/>
                <w:sz w:val="24"/>
              </w:rPr>
            </w:pPr>
          </w:p>
          <w:p>
            <w:pPr>
              <w:widowControl/>
              <w:jc w:val="center"/>
              <w:rPr>
                <w:rFonts w:ascii="楷体_GB2312" w:hAnsi="宋体" w:eastAsia="楷体_GB2312" w:cs="宋体"/>
                <w:kern w:val="0"/>
                <w:sz w:val="24"/>
              </w:rPr>
            </w:pPr>
          </w:p>
          <w:p>
            <w:pPr>
              <w:widowControl/>
              <w:jc w:val="center"/>
              <w:rPr>
                <w:rFonts w:hint="default" w:ascii="楷体_GB2312" w:hAnsi="宋体" w:eastAsia="楷体_GB2312" w:cs="宋体"/>
                <w:kern w:val="0"/>
                <w:sz w:val="24"/>
                <w:lang w:val="en-US" w:eastAsia="zh-CN"/>
              </w:rPr>
            </w:pPr>
            <w:r>
              <w:rPr>
                <w:rFonts w:hint="eastAsia" w:ascii="楷体_GB2312" w:hAnsi="宋体" w:eastAsia="楷体_GB2312" w:cs="宋体"/>
                <w:kern w:val="0"/>
                <w:sz w:val="24"/>
                <w:lang w:val="en-US" w:eastAsia="zh-CN"/>
              </w:rPr>
              <w:t>26</w:t>
            </w:r>
          </w:p>
        </w:tc>
        <w:tc>
          <w:tcPr>
            <w:tcW w:w="0" w:type="auto"/>
            <w:vAlign w:val="center"/>
          </w:tcPr>
          <w:p>
            <w:pPr>
              <w:widowControl/>
              <w:spacing w:line="260" w:lineRule="exact"/>
              <w:rPr>
                <w:rFonts w:hint="eastAsia" w:ascii="仿宋_GB2312" w:hAnsi="宋体" w:eastAsia="仿宋_GB2312" w:cs="宋体"/>
                <w:kern w:val="0"/>
                <w:sz w:val="22"/>
                <w:szCs w:val="22"/>
                <w:lang w:eastAsia="zh-CN"/>
              </w:rPr>
            </w:pPr>
            <w:r>
              <w:rPr>
                <w:rFonts w:hint="eastAsia" w:ascii="仿宋_GB2312" w:hAnsi="宋体" w:eastAsia="仿宋_GB2312" w:cs="宋体"/>
                <w:kern w:val="0"/>
                <w:sz w:val="22"/>
                <w:szCs w:val="22"/>
              </w:rPr>
              <w:t>对公众关心关切关注的重点领域政务舆情应予以妥善回应情况。</w:t>
            </w:r>
          </w:p>
          <w:p>
            <w:pPr>
              <w:widowControl/>
              <w:spacing w:line="260" w:lineRule="exact"/>
              <w:rPr>
                <w:rFonts w:hint="eastAsia" w:ascii="仿宋_GB2312" w:hAnsi="宋体" w:eastAsia="仿宋_GB2312" w:cs="宋体"/>
                <w:kern w:val="0"/>
                <w:sz w:val="22"/>
                <w:szCs w:val="22"/>
                <w:lang w:val="en-US" w:eastAsia="zh-CN" w:bidi="ar-SA"/>
              </w:rPr>
            </w:pPr>
            <w:r>
              <w:rPr>
                <w:rFonts w:hint="eastAsia" w:ascii="仿宋_GB2312" w:hAnsi="宋体" w:eastAsia="仿宋_GB2312" w:cs="宋体"/>
                <w:kern w:val="0"/>
                <w:sz w:val="22"/>
                <w:szCs w:val="22"/>
              </w:rPr>
              <w:t>不得出现不管不顾放任舆论发酵、自说自话回避舆论焦点、空话套话引发舆论热议等现象。</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卢瑞莲</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办公室</w:t>
            </w:r>
          </w:p>
        </w:tc>
        <w:tc>
          <w:tcPr>
            <w:tcW w:w="0" w:type="auto"/>
            <w:vAlign w:val="center"/>
          </w:tcPr>
          <w:p>
            <w:pPr>
              <w:widowControl/>
              <w:jc w:val="center"/>
              <w:rPr>
                <w:rFonts w:hint="eastAsia" w:ascii="仿宋_GB2312" w:hAnsi="宋体" w:eastAsia="仿宋_GB2312" w:cs="宋体"/>
                <w:kern w:val="0"/>
                <w:sz w:val="24"/>
                <w:szCs w:val="24"/>
                <w:lang w:val="en-US" w:eastAsia="zh-CN" w:bidi="ar-SA"/>
              </w:rPr>
            </w:pPr>
            <w:r>
              <w:rPr>
                <w:rFonts w:hint="eastAsia" w:ascii="仿宋_GB2312" w:hAnsi="宋体" w:eastAsia="仿宋_GB2312" w:cs="宋体"/>
                <w:kern w:val="0"/>
                <w:sz w:val="24"/>
                <w:lang w:eastAsia="zh-CN"/>
              </w:rPr>
              <w:t>李</w:t>
            </w:r>
            <w:r>
              <w:rPr>
                <w:rFonts w:hint="eastAsia" w:ascii="仿宋_GB2312" w:hAnsi="宋体" w:eastAsia="仿宋_GB2312" w:cs="宋体"/>
                <w:kern w:val="0"/>
                <w:sz w:val="24"/>
                <w:lang w:val="en-US" w:eastAsia="zh-CN"/>
              </w:rPr>
              <w:t xml:space="preserve">  </w:t>
            </w:r>
            <w:r>
              <w:rPr>
                <w:rFonts w:hint="eastAsia" w:ascii="仿宋_GB2312" w:hAnsi="宋体" w:eastAsia="仿宋_GB2312" w:cs="宋体"/>
                <w:kern w:val="0"/>
                <w:sz w:val="24"/>
                <w:lang w:eastAsia="zh-CN"/>
              </w:rPr>
              <w:t>晋</w:t>
            </w:r>
          </w:p>
        </w:tc>
        <w:tc>
          <w:tcPr>
            <w:tcW w:w="0" w:type="auto"/>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18735601982</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ZGFiOTY1OGY2ZDdlODAyNzM4NmJhYTkwMjRmNzMifQ=="/>
  </w:docVars>
  <w:rsids>
    <w:rsidRoot w:val="694660A9"/>
    <w:rsid w:val="001F14A0"/>
    <w:rsid w:val="02AB3046"/>
    <w:rsid w:val="0348201A"/>
    <w:rsid w:val="2E1312F0"/>
    <w:rsid w:val="32037EFC"/>
    <w:rsid w:val="47A82B74"/>
    <w:rsid w:val="497E89EB"/>
    <w:rsid w:val="4C197981"/>
    <w:rsid w:val="4E2B48C4"/>
    <w:rsid w:val="551D5F8B"/>
    <w:rsid w:val="694660A9"/>
    <w:rsid w:val="6C450376"/>
    <w:rsid w:val="6D093DA5"/>
    <w:rsid w:val="77FE8367"/>
    <w:rsid w:val="EDDEDF65"/>
    <w:rsid w:val="EF5B8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2086</Words>
  <Characters>2398</Characters>
  <Lines>0</Lines>
  <Paragraphs>0</Paragraphs>
  <TotalTime>70</TotalTime>
  <ScaleCrop>false</ScaleCrop>
  <LinksUpToDate>false</LinksUpToDate>
  <CharactersWithSpaces>2449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2022-10-17T15:34:00Z</dcterms:created>
  <dc:creator>原ye</dc:creator>
  <cp:lastModifiedBy>Administrator</cp:lastModifiedBy>
  <cp:lastPrinted>2022-10-25T08:55:00Z</cp:lastPrinted>
  <dcterms:modified xsi:type="dcterms:W3CDTF">2023-01-09T09:58:33Z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68C6F87B07254ACD8B29A6851FDE7029</vt:lpwstr>
  </property>
</Properties>
</file>