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jc w:val="both"/>
        <w:textAlignment w:val="auto"/>
        <w:outlineLvl w:val="1"/>
        <w:rPr>
          <w:rStyle w:val="12"/>
          <w:rFonts w:hint="default" w:ascii="方正小标宋简体" w:hAnsi="方正小标宋简体" w:eastAsia="方正小标宋简体" w:cs="方正小标宋简体"/>
          <w:b w:val="0"/>
          <w:bCs/>
          <w:color w:val="auto"/>
          <w:kern w:val="0"/>
          <w:sz w:val="44"/>
          <w:szCs w:val="44"/>
          <w:lang w:val="en-US" w:eastAsia="zh-CN"/>
        </w:rPr>
      </w:pPr>
      <w:r>
        <w:rPr>
          <w:rStyle w:val="12"/>
          <w:rFonts w:hint="eastAsia" w:ascii="方正小标宋简体" w:hAnsi="方正小标宋简体" w:eastAsia="方正小标宋简体" w:cs="方正小标宋简体"/>
          <w:b w:val="0"/>
          <w:bCs/>
          <w:color w:val="auto"/>
          <w:kern w:val="0"/>
          <w:sz w:val="44"/>
          <w:szCs w:val="44"/>
          <w:lang w:val="en-US" w:eastAsia="zh-CN"/>
        </w:rPr>
        <w:t xml:space="preserve">                                                                                                                                                                                                                                                                                                                                                                                                                                                                                                                                                                                                                                                                                                                                                                                                                                                                                                                                                                                                                                                                                                                                                                             </w:t>
      </w:r>
    </w:p>
    <w:p>
      <w:pPr>
        <w:pStyle w:val="9"/>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fill="FFFFFF"/>
        <w:kinsoku/>
        <w:wordWrap/>
        <w:overflowPunct/>
        <w:topLinePunct w:val="0"/>
        <w:autoSpaceDE/>
        <w:autoSpaceDN/>
        <w:bidi w:val="0"/>
        <w:adjustRightInd/>
        <w:snapToGrid/>
        <w:spacing w:before="0" w:beforeAutospacing="0" w:after="0" w:afterAutospacing="0" w:line="586" w:lineRule="exact"/>
        <w:ind w:right="0"/>
        <w:jc w:val="center"/>
        <w:textAlignment w:val="auto"/>
        <w:rPr>
          <w:rStyle w:val="12"/>
          <w:rFonts w:hint="eastAsia" w:ascii="方正小标宋简体" w:hAnsi="方正小标宋简体" w:eastAsia="方正小标宋简体" w:cs="方正小标宋简体"/>
          <w:b w:val="0"/>
          <w:bCs/>
          <w:color w:val="auto"/>
          <w:kern w:val="0"/>
          <w:sz w:val="44"/>
          <w:szCs w:val="44"/>
          <w:lang w:eastAsia="zh-CN"/>
        </w:rPr>
      </w:pPr>
      <w:bookmarkStart w:id="0" w:name="_GoBack"/>
      <w:r>
        <w:rPr>
          <w:rStyle w:val="12"/>
          <w:rFonts w:hint="eastAsia" w:ascii="方正小标宋简体" w:hAnsi="方正小标宋简体" w:eastAsia="方正小标宋简体" w:cs="方正小标宋简体"/>
          <w:b w:val="0"/>
          <w:bCs/>
          <w:color w:val="auto"/>
          <w:kern w:val="0"/>
          <w:sz w:val="44"/>
          <w:szCs w:val="44"/>
          <w:lang w:eastAsia="zh-CN"/>
        </w:rPr>
        <w:t>市工信局（国资委）</w:t>
      </w:r>
    </w:p>
    <w:p>
      <w:pPr>
        <w:pStyle w:val="9"/>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fill="FFFFFF"/>
        <w:kinsoku/>
        <w:wordWrap/>
        <w:overflowPunct/>
        <w:topLinePunct w:val="0"/>
        <w:autoSpaceDE/>
        <w:autoSpaceDN/>
        <w:bidi w:val="0"/>
        <w:adjustRightInd/>
        <w:snapToGrid/>
        <w:spacing w:before="0" w:beforeAutospacing="0" w:after="0" w:afterAutospacing="0" w:line="586" w:lineRule="exact"/>
        <w:ind w:right="0"/>
        <w:jc w:val="center"/>
        <w:textAlignment w:val="auto"/>
        <w:rPr>
          <w:rFonts w:hint="eastAsia" w:eastAsia="仿宋_GB2312" w:cs="Times New Roman"/>
          <w:color w:val="auto"/>
          <w:sz w:val="44"/>
          <w:szCs w:val="44"/>
          <w:shd w:val="clear" w:color="auto" w:fill="FFFFFF"/>
          <w:lang w:val="en-US" w:eastAsia="zh-CN"/>
        </w:rPr>
      </w:pPr>
      <w:r>
        <w:rPr>
          <w:rStyle w:val="12"/>
          <w:rFonts w:hint="eastAsia" w:ascii="方正小标宋简体" w:hAnsi="方正小标宋简体" w:eastAsia="方正小标宋简体" w:cs="方正小标宋简体"/>
          <w:b w:val="0"/>
          <w:bCs/>
          <w:color w:val="auto"/>
          <w:kern w:val="0"/>
          <w:sz w:val="44"/>
          <w:szCs w:val="44"/>
          <w:lang w:eastAsia="zh-CN"/>
        </w:rPr>
        <w:t>2021年度法治政府建设工作报告</w:t>
      </w:r>
    </w:p>
    <w:bookmarkEnd w:id="0"/>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6" w:lineRule="exact"/>
        <w:ind w:righ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2021年，我局坚持以习近平新时代中国特色社会主义思想为指引，</w:t>
      </w:r>
      <w:r>
        <w:rPr>
          <w:rFonts w:hint="eastAsia" w:ascii="仿宋_GB2312" w:hAnsi="仿宋_GB2312" w:eastAsia="仿宋_GB2312" w:cs="仿宋_GB2312"/>
          <w:b w:val="0"/>
          <w:bCs/>
          <w:color w:val="auto"/>
          <w:sz w:val="32"/>
          <w:szCs w:val="32"/>
          <w:shd w:val="clear" w:color="auto" w:fill="FFFFFF"/>
          <w:lang w:eastAsia="zh-CN"/>
        </w:rPr>
        <w:t>深入学习贯彻落实习近平</w:t>
      </w:r>
      <w:r>
        <w:rPr>
          <w:rFonts w:hint="eastAsia" w:eastAsia="仿宋_GB2312" w:cs="Times New Roman"/>
          <w:b w:val="0"/>
          <w:bCs/>
          <w:color w:val="auto"/>
          <w:sz w:val="32"/>
          <w:szCs w:val="32"/>
          <w:shd w:val="clear" w:color="auto" w:fill="FFFFFF"/>
          <w:lang w:eastAsia="zh-CN"/>
        </w:rPr>
        <w:t>法治思想，</w:t>
      </w:r>
      <w:r>
        <w:rPr>
          <w:rFonts w:hint="eastAsia" w:ascii="仿宋_GB2312" w:hAnsi="仿宋_GB2312" w:eastAsia="仿宋_GB2312" w:cs="仿宋_GB2312"/>
          <w:b w:val="0"/>
          <w:bCs/>
          <w:color w:val="auto"/>
          <w:sz w:val="32"/>
          <w:szCs w:val="32"/>
          <w:lang w:val="en-US" w:eastAsia="zh-CN"/>
        </w:rPr>
        <w:t>紧紧围绕2021年全面依法治市工作的总体要求，不断加强对法治建设工作的领导，把法治建设工作摆到突出位置来谋划推进，扎实推进各项法治建设工作，为我市全方位推进高质量发                                                                                                                                                                                                                                                                                                                                                                                                                                                                                                                                                                                                                                                                                                                                                                                                                                                                                                                                                                                                        展、建设共同富裕新晋城提供了坚强法治保障。</w:t>
      </w:r>
    </w:p>
    <w:p>
      <w:pPr>
        <w:keepNext w:val="0"/>
        <w:keepLines w:val="0"/>
        <w:pageBreakBefore w:val="0"/>
        <w:widowControl w:val="0"/>
        <w:numPr>
          <w:ilvl w:val="0"/>
          <w:numId w:val="0"/>
        </w:numPr>
        <w:kinsoku/>
        <w:wordWrap/>
        <w:overflowPunct/>
        <w:topLinePunct w:val="0"/>
        <w:autoSpaceDE/>
        <w:autoSpaceDN/>
        <w:bidi w:val="0"/>
        <w:spacing w:line="58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一、全面落实法治建设第一责任人职责</w:t>
      </w:r>
    </w:p>
    <w:p>
      <w:pPr>
        <w:keepNext w:val="0"/>
        <w:keepLines w:val="0"/>
        <w:pageBreakBefore w:val="0"/>
        <w:widowControl w:val="0"/>
        <w:kinsoku/>
        <w:wordWrap/>
        <w:overflowPunct/>
        <w:topLinePunct w:val="0"/>
        <w:autoSpaceDE/>
        <w:autoSpaceDN/>
        <w:bidi w:val="0"/>
        <w:adjustRightInd w:val="0"/>
        <w:snapToGrid w:val="0"/>
        <w:spacing w:line="586" w:lineRule="exact"/>
        <w:ind w:left="0" w:leftChars="0" w:firstLine="640" w:firstLineChars="200"/>
        <w:jc w:val="both"/>
        <w:textAlignment w:val="auto"/>
        <w:outlineLvl w:val="9"/>
        <w:rPr>
          <w:rFonts w:hint="eastAsia" w:ascii="仿宋_GB2312" w:hAnsi="Times New Roman" w:eastAsia="仿宋_GB2312" w:cstheme="minorBidi"/>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今年3月份，由于局主要领导调整，我局及时调整完善了局法治建设工作领导小组，负责我局法治建设工作。由席学武局长担任组长，党委专职副书记任副组长，其他局领导为成员。局主要领导认真履行第一责任人职责，带头贯彻落实省市关于加强法治建设的重大决策部署，对全局法治建设工作亲自部署、亲自安排、亲自过问，严格执行《晋城市工信局（国资委）主要负责人2021年度履行推进法治建设第一责任人工作清单》,充分履行好作为全局法治建设的组织者、推动者和实践者的职责。</w:t>
      </w:r>
    </w:p>
    <w:p>
      <w:pPr>
        <w:keepNext w:val="0"/>
        <w:keepLines w:val="0"/>
        <w:pageBreakBefore w:val="0"/>
        <w:widowControl w:val="0"/>
        <w:numPr>
          <w:ilvl w:val="0"/>
          <w:numId w:val="0"/>
        </w:numPr>
        <w:kinsoku/>
        <w:wordWrap/>
        <w:overflowPunct/>
        <w:topLinePunct w:val="0"/>
        <w:autoSpaceDE/>
        <w:autoSpaceDN/>
        <w:bidi w:val="0"/>
        <w:spacing w:line="58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二、推进法治政府建设的主要举措和成效</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1.建立健全领导干部法治学习制度。</w:t>
      </w:r>
      <w:r>
        <w:rPr>
          <w:rFonts w:hint="eastAsia" w:ascii="仿宋_GB2312" w:hAnsi="仿宋_GB2312" w:eastAsia="仿宋_GB2312" w:cs="仿宋_GB2312"/>
          <w:color w:val="auto"/>
          <w:kern w:val="2"/>
          <w:sz w:val="32"/>
          <w:szCs w:val="32"/>
          <w:lang w:val="en-US" w:eastAsia="zh-CN" w:bidi="ar-SA"/>
        </w:rPr>
        <w:t>局主要领导积极带领局党委（党组）中心组坚持深入贯彻落实习近平法治思想，带头学法用法。按照制定的党组中心组学法制度和学法计划，坚持集中学法、定期学法，保证学习时间和学习效果的落实。</w:t>
      </w:r>
      <w:r>
        <w:rPr>
          <w:rFonts w:hint="eastAsia" w:ascii="仿宋_GB2312" w:hAnsi="仿宋_GB2312" w:eastAsia="仿宋_GB2312" w:cs="仿宋_GB2312"/>
          <w:b/>
          <w:bCs/>
          <w:color w:val="auto"/>
          <w:kern w:val="2"/>
          <w:sz w:val="32"/>
          <w:szCs w:val="32"/>
          <w:lang w:val="en-US" w:eastAsia="zh-CN" w:bidi="ar-SA"/>
        </w:rPr>
        <w:t>全年共</w:t>
      </w:r>
      <w:r>
        <w:rPr>
          <w:rFonts w:hint="eastAsia" w:ascii="仿宋_GB2312" w:hAnsi="Times New Roman" w:eastAsia="仿宋_GB2312" w:cstheme="minorBidi"/>
          <w:b/>
          <w:bCs/>
          <w:color w:val="auto"/>
          <w:kern w:val="2"/>
          <w:sz w:val="32"/>
          <w:szCs w:val="32"/>
          <w:shd w:val="clear" w:color="auto" w:fill="auto"/>
          <w:lang w:val="en-US" w:eastAsia="zh-CN" w:bidi="ar-SA"/>
        </w:rPr>
        <w:t>开展6次中心组学法活动。</w:t>
      </w:r>
      <w:r>
        <w:rPr>
          <w:rFonts w:hint="eastAsia" w:ascii="仿宋_GB2312" w:hAnsi="Times New Roman" w:eastAsia="仿宋_GB2312" w:cstheme="minorBidi"/>
          <w:color w:val="auto"/>
          <w:kern w:val="2"/>
          <w:sz w:val="32"/>
          <w:szCs w:val="32"/>
          <w:shd w:val="clear" w:color="auto" w:fill="auto"/>
          <w:lang w:val="en-US" w:eastAsia="zh-CN" w:bidi="ar-SA"/>
        </w:rPr>
        <w:t>建立</w:t>
      </w:r>
      <w:r>
        <w:rPr>
          <w:rFonts w:hint="eastAsia" w:ascii="仿宋_GB2312" w:hAnsi="仿宋_GB2312" w:eastAsia="仿宋_GB2312" w:cs="仿宋_GB2312"/>
          <w:color w:val="auto"/>
          <w:kern w:val="2"/>
          <w:sz w:val="32"/>
          <w:szCs w:val="32"/>
          <w:lang w:val="en-US" w:eastAsia="zh-CN" w:bidi="ar-SA"/>
        </w:rPr>
        <w:t>了</w:t>
      </w:r>
      <w:r>
        <w:rPr>
          <w:rFonts w:hint="eastAsia" w:ascii="仿宋_GB2312" w:hAnsi="Times New Roman" w:eastAsia="仿宋_GB2312" w:cstheme="minorBidi"/>
          <w:color w:val="auto"/>
          <w:kern w:val="2"/>
          <w:sz w:val="32"/>
          <w:szCs w:val="32"/>
          <w:lang w:val="en-US" w:eastAsia="zh-CN" w:bidi="ar-SA"/>
        </w:rPr>
        <w:t>“局长讲法”“科长讲法”工作制度，大力提升了机关干部职工的法治意识和法治素养</w:t>
      </w:r>
      <w:r>
        <w:rPr>
          <w:rFonts w:hint="eastAsia" w:ascii="仿宋_GB2312" w:eastAsia="仿宋_GB2312"/>
          <w:color w:val="auto"/>
          <w:sz w:val="32"/>
          <w:szCs w:val="32"/>
        </w:rPr>
        <w:t>。</w:t>
      </w:r>
      <w:r>
        <w:rPr>
          <w:rFonts w:hint="eastAsia" w:ascii="仿宋_GB2312" w:eastAsia="仿宋_GB2312"/>
          <w:b/>
          <w:bCs/>
          <w:color w:val="auto"/>
          <w:sz w:val="32"/>
          <w:szCs w:val="32"/>
          <w:lang w:eastAsia="zh-CN"/>
        </w:rPr>
        <w:t>全年共</w:t>
      </w:r>
      <w:r>
        <w:rPr>
          <w:rFonts w:hint="eastAsia" w:ascii="仿宋_GB2312" w:hAnsi="Times New Roman" w:eastAsia="仿宋_GB2312" w:cstheme="minorBidi"/>
          <w:b/>
          <w:bCs/>
          <w:color w:val="auto"/>
          <w:kern w:val="2"/>
          <w:sz w:val="32"/>
          <w:szCs w:val="32"/>
          <w:shd w:val="clear" w:color="auto" w:fill="auto"/>
          <w:lang w:val="en-US" w:eastAsia="zh-CN" w:bidi="ar-SA"/>
        </w:rPr>
        <w:t>开展了八</w:t>
      </w:r>
      <w:r>
        <w:rPr>
          <w:rFonts w:hint="eastAsia" w:ascii="仿宋_GB2312" w:hAnsi="Times New Roman" w:eastAsia="仿宋_GB2312" w:cstheme="minorBidi"/>
          <w:b/>
          <w:bCs/>
          <w:color w:val="auto"/>
          <w:kern w:val="2"/>
          <w:sz w:val="32"/>
          <w:szCs w:val="32"/>
          <w:lang w:val="en-US" w:eastAsia="zh-CN" w:bidi="ar-SA"/>
        </w:rPr>
        <w:t>期“局长讲法”活动，</w:t>
      </w:r>
      <w:r>
        <w:rPr>
          <w:rFonts w:hint="eastAsia" w:ascii="仿宋_GB2312" w:hAnsi="Times New Roman" w:eastAsia="仿宋_GB2312" w:cstheme="minorBidi"/>
          <w:color w:val="auto"/>
          <w:kern w:val="2"/>
          <w:sz w:val="32"/>
          <w:szCs w:val="32"/>
          <w:lang w:val="en-US" w:eastAsia="zh-CN" w:bidi="ar-SA"/>
        </w:rPr>
        <w:t>席学武局长讲解了《中华人民共和国民法典》，其他班子成员分别讲解了《中华人民共和国公务员法》、《中华人民共和国国家安全法》、《中华人民共和国保密法》、《中华人民共和国监察法》、《中华人民共和国企业国有资产法》、《企业国有资产监督管理条例》、《中华人民共和国监控化学品管理条例》、《中华人民共和国公司法》；</w:t>
      </w:r>
      <w:r>
        <w:rPr>
          <w:rFonts w:hint="eastAsia" w:ascii="仿宋_GB2312" w:hAnsi="Times New Roman" w:eastAsia="仿宋_GB2312" w:cstheme="minorBidi"/>
          <w:b/>
          <w:bCs/>
          <w:color w:val="auto"/>
          <w:kern w:val="2"/>
          <w:sz w:val="32"/>
          <w:szCs w:val="32"/>
          <w:lang w:val="en-US" w:eastAsia="zh-CN" w:bidi="ar-SA"/>
        </w:rPr>
        <w:t>共开展六期“科长讲法”活动，</w:t>
      </w:r>
      <w:r>
        <w:rPr>
          <w:rFonts w:hint="eastAsia" w:ascii="仿宋_GB2312" w:hAnsi="Times New Roman" w:eastAsia="仿宋_GB2312" w:cstheme="minorBidi"/>
          <w:color w:val="auto"/>
          <w:kern w:val="2"/>
          <w:sz w:val="32"/>
          <w:szCs w:val="32"/>
          <w:lang w:val="en-US" w:eastAsia="zh-CN" w:bidi="ar-SA"/>
        </w:rPr>
        <w:t>六位科长分别讲解了《重大行政决策程序暂行条例》、《中国共产党国有企业基层组织工作条例（试行）》、《中华人民共和国国家安全法》、《民用爆炸物品安全管理条例》、《企业国有资产交易监督管理办法》、《中华人民共和国公司法》。</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2.全面落实行政机关政府法律顾问制度。</w:t>
      </w:r>
      <w:r>
        <w:rPr>
          <w:rFonts w:hint="eastAsia" w:ascii="仿宋_GB2312" w:hAnsi="仿宋_GB2312" w:eastAsia="仿宋_GB2312" w:cs="仿宋_GB2312"/>
          <w:color w:val="auto"/>
          <w:kern w:val="2"/>
          <w:sz w:val="32"/>
          <w:szCs w:val="32"/>
          <w:lang w:val="en-US" w:eastAsia="zh-CN" w:bidi="ar-SA"/>
        </w:rPr>
        <w:t>按照市委、市政府要求，结合工作实际，聘请法律顾问。今年已为我局重大决策、重大项目合法性审查，法治政府建设的重点、难点、热点问题和法治宣传教育，共累计完成</w:t>
      </w:r>
      <w:r>
        <w:rPr>
          <w:rFonts w:hint="eastAsia" w:ascii="仿宋_GB2312" w:hAnsi="仿宋_GB2312" w:eastAsia="仿宋_GB2312" w:cs="仿宋_GB2312"/>
          <w:sz w:val="32"/>
          <w:szCs w:val="32"/>
        </w:rPr>
        <w:t>日常法律咨询12</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培训课件制作7</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现场培训5</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规范性文件合法性审查17</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法律文书合同审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color w:val="auto"/>
          <w:kern w:val="2"/>
          <w:sz w:val="32"/>
          <w:szCs w:val="32"/>
          <w:lang w:val="en-US" w:eastAsia="zh-CN" w:bidi="ar-SA"/>
        </w:rPr>
        <w:t>信访涉法涉诉重大突发事件29次、行政复议诉讼仲裁1次、会议硏讨3次。在研究“三重一大”事项前，组织进行相关法律学习，确保决策事项各项程序的合法性。</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jc w:val="both"/>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3.深入开展法治宣传教育。</w:t>
      </w:r>
      <w:r>
        <w:rPr>
          <w:rFonts w:hint="eastAsia" w:ascii="仿宋_GB2312" w:hAnsi="仿宋_GB2312" w:eastAsia="仿宋_GB2312" w:cs="仿宋_GB2312"/>
          <w:b w:val="0"/>
          <w:bCs w:val="0"/>
          <w:color w:val="auto"/>
          <w:sz w:val="32"/>
          <w:szCs w:val="32"/>
        </w:rPr>
        <w:t>切实加大普法宣传力度。</w:t>
      </w:r>
      <w:r>
        <w:rPr>
          <w:rFonts w:hint="eastAsia" w:ascii="仿宋_GB2312" w:hAnsi="仿宋_GB2312" w:eastAsia="仿宋_GB2312" w:cs="仿宋_GB2312"/>
          <w:b w:val="0"/>
          <w:bCs w:val="0"/>
          <w:color w:val="auto"/>
          <w:sz w:val="32"/>
          <w:szCs w:val="32"/>
          <w:lang w:eastAsia="zh-CN"/>
        </w:rPr>
        <w:t>依托党组中心组理论学习、周一集体学习，认真学习宪法、民法典、公务员法、安全生产法等一系列法律法规。</w:t>
      </w:r>
      <w:r>
        <w:rPr>
          <w:rFonts w:hint="eastAsia" w:ascii="仿宋_GB2312" w:hAnsi="仿宋_GB2312" w:eastAsia="仿宋_GB2312" w:cs="仿宋_GB2312"/>
          <w:caps w:val="0"/>
          <w:color w:val="auto"/>
          <w:spacing w:val="0"/>
          <w:sz w:val="32"/>
          <w:szCs w:val="32"/>
          <w:lang w:val="en-US" w:eastAsia="zh-CN"/>
        </w:rPr>
        <w:t>在“宪法宣传周”活动期间，我局邀请北京盈科（晋城）律师事务所李剑涛律师，在451会议室为全体干部职工作了关于《弘扬宪法精神 维护宪法权威》的专题讲座。同时，利用单位宣传栏、电子屏持续进行“</w:t>
      </w:r>
      <w:r>
        <w:rPr>
          <w:rFonts w:hint="eastAsia" w:ascii="仿宋_GB2312" w:hAnsi="仿宋_GB2312" w:eastAsia="仿宋_GB2312" w:cs="仿宋_GB2312"/>
          <w:caps w:val="0"/>
          <w:color w:val="000000"/>
          <w:spacing w:val="0"/>
          <w:sz w:val="32"/>
          <w:szCs w:val="32"/>
          <w:lang w:eastAsia="zh-CN"/>
        </w:rPr>
        <w:t>以习近平法治思想为指引</w:t>
      </w:r>
      <w:r>
        <w:rPr>
          <w:rFonts w:hint="eastAsia" w:ascii="仿宋_GB2312" w:hAnsi="仿宋_GB2312" w:eastAsia="仿宋_GB2312" w:cs="仿宋_GB2312"/>
          <w:caps w:val="0"/>
          <w:color w:val="000000"/>
          <w:spacing w:val="0"/>
          <w:sz w:val="32"/>
          <w:szCs w:val="32"/>
          <w:lang w:val="en-US" w:eastAsia="zh-CN"/>
        </w:rPr>
        <w:t>坚定不移走中国特色社会主义法治道路</w:t>
      </w:r>
      <w:r>
        <w:rPr>
          <w:rFonts w:hint="eastAsia" w:ascii="仿宋_GB2312" w:hAnsi="仿宋_GB2312" w:eastAsia="仿宋_GB2312" w:cs="仿宋_GB2312"/>
          <w:caps w:val="0"/>
          <w:color w:val="auto"/>
          <w:spacing w:val="0"/>
          <w:sz w:val="32"/>
          <w:szCs w:val="32"/>
          <w:lang w:val="en-US" w:eastAsia="zh-CN"/>
        </w:rPr>
        <w:t>”主题宣传，积极营造良好的宪法宣传氛围。</w:t>
      </w:r>
    </w:p>
    <w:p>
      <w:pPr>
        <w:keepNext w:val="0"/>
        <w:keepLines w:val="0"/>
        <w:pageBreakBefore w:val="0"/>
        <w:widowControl w:val="0"/>
        <w:numPr>
          <w:ilvl w:val="0"/>
          <w:numId w:val="0"/>
        </w:numPr>
        <w:kinsoku/>
        <w:wordWrap/>
        <w:overflowPunct/>
        <w:topLinePunct w:val="0"/>
        <w:autoSpaceDE/>
        <w:autoSpaceDN/>
        <w:bidi w:val="0"/>
        <w:spacing w:line="586"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4.加强“互联网＋监管”系统建设。</w:t>
      </w:r>
      <w:r>
        <w:rPr>
          <w:rFonts w:hint="eastAsia" w:ascii="仿宋_GB2312" w:hAnsi="仿宋_GB2312" w:eastAsia="仿宋_GB2312" w:cs="仿宋_GB2312"/>
          <w:b w:val="0"/>
          <w:bCs w:val="0"/>
          <w:color w:val="auto"/>
          <w:kern w:val="2"/>
          <w:sz w:val="32"/>
          <w:szCs w:val="32"/>
          <w:lang w:val="en-US" w:eastAsia="zh-CN" w:bidi="ar-SA"/>
        </w:rPr>
        <w:t>多措并举扎实推进“互联网＋监管”系统应用，按照“谁审批、谁负责，谁主管、谁监管”原则，加强对省级分发的监管事项进行认领，监管事项认领率达到100%。开展对已认领行政检查类监管事项进行检查实施清单编制工作。截至目前，实施清单编制率100%。规范监管信息反馈报送，进一步规范监管行为录入、预警信息处置、 监管信息动态更新等工作，确保“互联网＋监管”工作顺利实施，进一步优化营商环境。</w:t>
      </w:r>
    </w:p>
    <w:p>
      <w:pPr>
        <w:pStyle w:val="2"/>
        <w:keepNext w:val="0"/>
        <w:keepLines w:val="0"/>
        <w:pageBreakBefore w:val="0"/>
        <w:widowControl w:val="0"/>
        <w:kinsoku/>
        <w:wordWrap/>
        <w:overflowPunct/>
        <w:topLinePunct w:val="0"/>
        <w:autoSpaceDE/>
        <w:autoSpaceDN/>
        <w:bidi w:val="0"/>
        <w:spacing w:after="0" w:line="586" w:lineRule="exact"/>
        <w:ind w:firstLine="643" w:firstLineChars="200"/>
        <w:jc w:val="both"/>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bCs/>
          <w:color w:val="auto"/>
          <w:kern w:val="2"/>
          <w:sz w:val="32"/>
          <w:szCs w:val="32"/>
          <w:lang w:val="en-US" w:eastAsia="zh-CN" w:bidi="ar-SA"/>
        </w:rPr>
        <w:t>5.依法依规推动国资国企改革。</w:t>
      </w:r>
      <w:r>
        <w:rPr>
          <w:rFonts w:hint="eastAsia" w:ascii="仿宋_GB2312" w:hAnsi="Times New Roman" w:eastAsia="仿宋_GB2312" w:cstheme="minorBidi"/>
          <w:color w:val="auto"/>
          <w:kern w:val="2"/>
          <w:sz w:val="32"/>
          <w:szCs w:val="32"/>
          <w:lang w:val="en-US" w:eastAsia="zh-CN" w:bidi="ar-SA"/>
        </w:rPr>
        <w:t>坚决依法依规，做好国有企业违规经营投资责任追究工作体系建设。认真贯彻落实省、市政府对国有产权管理工作提出的要求，加强国有资产监管，有效防止国有资产流失，着力在提高国有资本运营配置效率、优化</w:t>
      </w:r>
      <w:r>
        <w:rPr>
          <w:rFonts w:hint="default" w:ascii="仿宋_GB2312" w:hAnsi="Times New Roman" w:eastAsia="仿宋_GB2312" w:cstheme="minorBidi"/>
          <w:color w:val="auto"/>
          <w:kern w:val="2"/>
          <w:sz w:val="32"/>
          <w:szCs w:val="32"/>
          <w:lang w:val="en" w:eastAsia="zh-CN" w:bidi="ar-SA"/>
        </w:rPr>
        <w:t>国资监管上</w:t>
      </w:r>
      <w:r>
        <w:rPr>
          <w:rFonts w:hint="eastAsia" w:ascii="仿宋_GB2312" w:hAnsi="Times New Roman" w:eastAsia="仿宋_GB2312" w:cstheme="minorBidi"/>
          <w:color w:val="auto"/>
          <w:kern w:val="2"/>
          <w:sz w:val="32"/>
          <w:szCs w:val="32"/>
          <w:lang w:val="en-US" w:eastAsia="zh-CN" w:bidi="ar-SA"/>
        </w:rPr>
        <w:t>下功夫。</w:t>
      </w:r>
    </w:p>
    <w:p>
      <w:pPr>
        <w:keepNext w:val="0"/>
        <w:keepLines w:val="0"/>
        <w:pageBreakBefore w:val="0"/>
        <w:widowControl w:val="0"/>
        <w:numPr>
          <w:ilvl w:val="0"/>
          <w:numId w:val="0"/>
        </w:numPr>
        <w:kinsoku/>
        <w:wordWrap/>
        <w:overflowPunct/>
        <w:topLinePunct w:val="0"/>
        <w:autoSpaceDE/>
        <w:autoSpaceDN/>
        <w:bidi w:val="0"/>
        <w:spacing w:line="586"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6.依法依程序化解社会矛盾。</w:t>
      </w:r>
      <w:r>
        <w:rPr>
          <w:rFonts w:hint="eastAsia" w:ascii="仿宋_GB2312" w:hAnsi="仿宋_GB2312" w:eastAsia="仿宋_GB2312" w:cs="仿宋_GB2312"/>
          <w:b w:val="0"/>
          <w:bCs w:val="0"/>
          <w:color w:val="auto"/>
          <w:kern w:val="2"/>
          <w:sz w:val="32"/>
          <w:szCs w:val="32"/>
          <w:lang w:val="en-US" w:eastAsia="zh-CN" w:bidi="ar-SA"/>
        </w:rPr>
        <w:t>我局组织开展了市属国有企业治理重复信访、化解信访积案专项工作和信访百日攻坚专项行动，为确保交办我局的8件信访事项阳光透明、依法依规依程序办理，我局经办的信访事项的调查及处理意见全部由法律顾问进行法律分析及审查后，出具了法律意见，并按照《信访条例》有关规定和我局承担的信访工作职责范围，全部依法依规按程序办理落实到位。同时，在日常来信来访中，我局对每一件信访事项，按照《信访条例》有关规定和我局承担的信访工作职责范围，依据法律顾问出具的法律意见，向上访来信群体依法依规出具了答复意见。</w:t>
      </w:r>
    </w:p>
    <w:p>
      <w:pPr>
        <w:keepNext w:val="0"/>
        <w:keepLines w:val="0"/>
        <w:pageBreakBefore w:val="0"/>
        <w:widowControl w:val="0"/>
        <w:numPr>
          <w:ilvl w:val="0"/>
          <w:numId w:val="0"/>
        </w:numPr>
        <w:kinsoku/>
        <w:wordWrap/>
        <w:overflowPunct/>
        <w:topLinePunct w:val="0"/>
        <w:autoSpaceDE/>
        <w:autoSpaceDN/>
        <w:bidi w:val="0"/>
        <w:spacing w:line="58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三、2021年推进法治政府建设存在的不足和原因</w:t>
      </w:r>
    </w:p>
    <w:p>
      <w:pPr>
        <w:pStyle w:val="9"/>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fill="FFFFFF"/>
        <w:kinsoku/>
        <w:wordWrap/>
        <w:overflowPunct/>
        <w:topLinePunct w:val="0"/>
        <w:autoSpaceDE/>
        <w:autoSpaceDN/>
        <w:bidi w:val="0"/>
        <w:adjustRightInd/>
        <w:snapToGrid/>
        <w:spacing w:before="0" w:beforeAutospacing="0" w:after="0" w:afterAutospacing="0" w:line="586" w:lineRule="exact"/>
        <w:ind w:right="0" w:firstLine="643" w:firstLineChars="200"/>
        <w:jc w:val="both"/>
        <w:textAlignment w:val="auto"/>
        <w:rPr>
          <w:rFonts w:hint="eastAsia" w:ascii="仿宋_GB2312" w:hAnsi="Times New Roman" w:eastAsia="仿宋_GB2312" w:cstheme="minorBidi"/>
          <w:color w:val="auto"/>
          <w:kern w:val="2"/>
          <w:sz w:val="32"/>
          <w:szCs w:val="24"/>
          <w:lang w:val="en-US" w:eastAsia="zh-CN" w:bidi="ar-SA"/>
        </w:rPr>
      </w:pPr>
      <w:r>
        <w:rPr>
          <w:rFonts w:hint="eastAsia" w:ascii="楷体_GB2312" w:hAnsi="楷体_GB2312" w:eastAsia="楷体_GB2312" w:cs="楷体_GB2312"/>
          <w:b/>
          <w:bCs/>
          <w:color w:val="auto"/>
          <w:sz w:val="32"/>
          <w:szCs w:val="32"/>
          <w:shd w:val="clear" w:color="auto" w:fill="FFFFFF"/>
          <w:lang w:val="en-US" w:eastAsia="zh-CN"/>
        </w:rPr>
        <w:t>1.法治建设意识仍有待进一步提高。</w:t>
      </w:r>
      <w:r>
        <w:rPr>
          <w:rFonts w:hint="eastAsia" w:ascii="仿宋_GB2312" w:hAnsi="Times New Roman" w:eastAsia="仿宋_GB2312" w:cstheme="minorBidi"/>
          <w:color w:val="auto"/>
          <w:kern w:val="2"/>
          <w:sz w:val="32"/>
          <w:szCs w:val="24"/>
          <w:lang w:val="en-US" w:eastAsia="zh-CN" w:bidi="ar-SA"/>
        </w:rPr>
        <w:t xml:space="preserve">对推进法治建设重要性认识仍有待提高，贯彻落实文件精神更多停留在批示指示、会议记录等方面，主观能动性仍发挥不够。同时，虽然在行政决策方面，法治意识有所提升，但自觉运用法律的意识仍存在差距，更多依赖于法治工作部门和法律顾问的合法性“兜底”。 </w:t>
      </w:r>
    </w:p>
    <w:p>
      <w:pPr>
        <w:pStyle w:val="9"/>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fill="FFFFFF"/>
        <w:kinsoku/>
        <w:wordWrap/>
        <w:overflowPunct/>
        <w:topLinePunct w:val="0"/>
        <w:autoSpaceDE/>
        <w:autoSpaceDN/>
        <w:bidi w:val="0"/>
        <w:adjustRightInd/>
        <w:snapToGrid/>
        <w:spacing w:before="0" w:beforeAutospacing="0" w:after="0" w:afterAutospacing="0" w:line="586" w:lineRule="exact"/>
        <w:ind w:right="0" w:firstLine="643"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楷体_GB2312" w:hAnsi="楷体_GB2312" w:eastAsia="楷体_GB2312" w:cs="楷体_GB2312"/>
          <w:b/>
          <w:bCs/>
          <w:color w:val="auto"/>
          <w:sz w:val="32"/>
          <w:szCs w:val="32"/>
          <w:shd w:val="clear" w:color="auto" w:fill="FFFFFF"/>
          <w:lang w:val="en-US" w:eastAsia="zh-CN"/>
        </w:rPr>
        <w:t>2.普法宣传工作仍有待进一步加强。</w:t>
      </w:r>
      <w:r>
        <w:rPr>
          <w:rFonts w:hint="eastAsia" w:ascii="仿宋_GB2312" w:hAnsi="仿宋_GB2312" w:eastAsia="仿宋_GB2312" w:cs="仿宋_GB2312"/>
          <w:color w:val="auto"/>
          <w:kern w:val="0"/>
          <w:sz w:val="32"/>
          <w:szCs w:val="32"/>
          <w:shd w:val="clear" w:color="auto" w:fill="FFFFFF"/>
          <w:lang w:val="en-US" w:eastAsia="zh-CN" w:bidi="ar"/>
        </w:rPr>
        <w:t>虽然能够按照普法宣传的有关要求，认真完成普法宣传的各项规定动作，但手段还不够丰富，绝大多数普法宣传仍停留在挂条幅、贴标语、发宣传资料等形式上，也起到一定的宣传教育效果，但针对性不强、不接地气，效果不明显。</w:t>
      </w:r>
    </w:p>
    <w:p>
      <w:pPr>
        <w:keepNext w:val="0"/>
        <w:keepLines w:val="0"/>
        <w:pageBreakBefore w:val="0"/>
        <w:widowControl w:val="0"/>
        <w:numPr>
          <w:ilvl w:val="0"/>
          <w:numId w:val="0"/>
        </w:numPr>
        <w:kinsoku/>
        <w:wordWrap/>
        <w:overflowPunct/>
        <w:topLinePunct w:val="0"/>
        <w:autoSpaceDE/>
        <w:autoSpaceDN/>
        <w:bidi w:val="0"/>
        <w:spacing w:line="586"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四、2022年推进法治政府建设的主要安排</w:t>
      </w:r>
    </w:p>
    <w:p>
      <w:pPr>
        <w:pStyle w:val="2"/>
        <w:keepNext w:val="0"/>
        <w:keepLines w:val="0"/>
        <w:pageBreakBefore w:val="0"/>
        <w:widowControl w:val="0"/>
        <w:kinsoku/>
        <w:wordWrap/>
        <w:overflowPunct/>
        <w:topLinePunct w:val="0"/>
        <w:autoSpaceDE/>
        <w:autoSpaceDN/>
        <w:bidi w:val="0"/>
        <w:spacing w:line="586" w:lineRule="exact"/>
        <w:ind w:leftChars="0" w:firstLine="643" w:firstLineChars="20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楷体_GB2312" w:hAnsi="楷体_GB2312" w:eastAsia="楷体_GB2312" w:cs="楷体_GB2312"/>
          <w:b/>
          <w:bCs/>
          <w:color w:val="auto"/>
          <w:kern w:val="2"/>
          <w:sz w:val="32"/>
          <w:szCs w:val="32"/>
          <w:lang w:val="en-US" w:eastAsia="zh-CN" w:bidi="ar-SA"/>
        </w:rPr>
        <w:t>1.高度重视，切实履行第一责任人职责。</w:t>
      </w:r>
      <w:r>
        <w:rPr>
          <w:rFonts w:hint="eastAsia" w:ascii="仿宋_GB2312" w:hAnsi="仿宋_GB2312" w:eastAsia="仿宋_GB2312" w:cs="仿宋_GB2312"/>
          <w:color w:val="auto"/>
          <w:sz w:val="32"/>
          <w:szCs w:val="32"/>
        </w:rPr>
        <w:t>作为工业经济和国资监管职能部门，</w:t>
      </w:r>
      <w:r>
        <w:rPr>
          <w:rFonts w:hint="eastAsia" w:ascii="仿宋_GB2312" w:hAnsi="仿宋_GB2312" w:eastAsia="仿宋_GB2312" w:cs="仿宋_GB2312"/>
          <w:color w:val="auto"/>
          <w:sz w:val="32"/>
          <w:szCs w:val="32"/>
          <w:lang w:eastAsia="zh-CN"/>
        </w:rPr>
        <w:t>要</w:t>
      </w:r>
      <w:r>
        <w:rPr>
          <w:rFonts w:hint="eastAsia" w:ascii="仿宋_GB2312" w:eastAsia="仿宋_GB2312"/>
          <w:color w:val="auto"/>
          <w:sz w:val="32"/>
          <w:szCs w:val="32"/>
          <w:lang w:eastAsia="zh-CN"/>
        </w:rPr>
        <w:t>继续</w:t>
      </w:r>
      <w:r>
        <w:rPr>
          <w:rFonts w:hint="eastAsia" w:ascii="仿宋_GB2312" w:eastAsia="仿宋_GB2312"/>
          <w:color w:val="auto"/>
          <w:sz w:val="32"/>
          <w:szCs w:val="32"/>
        </w:rPr>
        <w:t>将法治建设摆在全局工作的重要位置</w:t>
      </w:r>
      <w:r>
        <w:rPr>
          <w:rFonts w:hint="eastAsia" w:ascii="仿宋_GB2312" w:eastAsia="仿宋_GB2312"/>
          <w:color w:val="auto"/>
          <w:sz w:val="32"/>
          <w:szCs w:val="32"/>
          <w:lang w:eastAsia="zh-CN"/>
        </w:rPr>
        <w:t>。</w:t>
      </w:r>
      <w:r>
        <w:rPr>
          <w:rFonts w:hint="eastAsia" w:ascii="仿宋_GB2312" w:hAnsi="仿宋_GB2312" w:eastAsia="仿宋_GB2312" w:cs="仿宋_GB2312"/>
          <w:b/>
          <w:bCs/>
          <w:i w:val="0"/>
          <w:iCs w:val="0"/>
          <w:color w:val="auto"/>
          <w:sz w:val="32"/>
          <w:szCs w:val="32"/>
          <w:lang w:eastAsia="zh-CN"/>
        </w:rPr>
        <w:t>一是</w:t>
      </w:r>
      <w:r>
        <w:rPr>
          <w:rFonts w:hint="eastAsia" w:ascii="仿宋_GB2312" w:hAnsi="仿宋_GB2312" w:eastAsia="仿宋_GB2312" w:cs="仿宋_GB2312"/>
          <w:color w:val="auto"/>
          <w:sz w:val="32"/>
          <w:szCs w:val="32"/>
          <w:lang w:eastAsia="zh-CN"/>
        </w:rPr>
        <w:t>要将开展法治建设工作与业务工作紧密联系，继续出台惠企政策，</w:t>
      </w:r>
      <w:r>
        <w:rPr>
          <w:rFonts w:hint="eastAsia" w:ascii="仿宋_GB2312" w:hAnsi="仿宋_GB2312" w:eastAsia="仿宋_GB2312" w:cs="仿宋_GB2312"/>
          <w:color w:val="auto"/>
          <w:sz w:val="32"/>
          <w:szCs w:val="32"/>
          <w:lang w:val="en-US" w:eastAsia="zh-CN"/>
        </w:rPr>
        <w:t>提升服务企业效能，进一步优化我市企业营商环境；</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kern w:val="2"/>
          <w:sz w:val="32"/>
          <w:szCs w:val="32"/>
          <w:shd w:val="clear" w:color="auto" w:fill="FFFFFF"/>
          <w:lang w:val="en-US" w:eastAsia="zh-CN" w:bidi="ar-SA"/>
        </w:rPr>
        <w:t>是</w:t>
      </w:r>
      <w:r>
        <w:rPr>
          <w:rFonts w:hint="eastAsia" w:ascii="仿宋_GB2312" w:hAnsi="仿宋_GB2312" w:eastAsia="仿宋_GB2312" w:cs="仿宋_GB2312"/>
          <w:color w:val="auto"/>
          <w:kern w:val="2"/>
          <w:sz w:val="32"/>
          <w:szCs w:val="32"/>
          <w:shd w:val="clear" w:color="auto" w:fill="FFFFFF"/>
          <w:lang w:val="en-US" w:eastAsia="zh-CN" w:bidi="ar-SA"/>
        </w:rPr>
        <w:t>持续完善我市国资监管法规制度体系，加强依法行权履职，强化对权力的制约和监督，完善重大决策合法性审查机制，进一步细化法律顾问履职范围和程序，强化机关企业法律风险防范；</w:t>
      </w:r>
      <w:r>
        <w:rPr>
          <w:rFonts w:hint="eastAsia" w:ascii="仿宋_GB2312" w:hAnsi="仿宋_GB2312" w:eastAsia="仿宋_GB2312" w:cs="仿宋_GB2312"/>
          <w:b/>
          <w:bCs/>
          <w:color w:val="auto"/>
          <w:kern w:val="2"/>
          <w:sz w:val="32"/>
          <w:szCs w:val="32"/>
          <w:shd w:val="clear" w:color="auto" w:fill="FFFFFF"/>
          <w:lang w:val="en-US" w:eastAsia="zh-CN" w:bidi="ar-SA"/>
        </w:rPr>
        <w:t>三是</w:t>
      </w:r>
      <w:r>
        <w:rPr>
          <w:rFonts w:hint="eastAsia" w:ascii="仿宋_GB2312" w:hAnsi="仿宋_GB2312" w:eastAsia="仿宋_GB2312" w:cs="仿宋_GB2312"/>
          <w:color w:val="auto"/>
          <w:kern w:val="2"/>
          <w:sz w:val="32"/>
          <w:szCs w:val="32"/>
          <w:shd w:val="clear" w:color="auto" w:fill="FFFFFF"/>
          <w:lang w:val="en-US" w:eastAsia="zh-CN" w:bidi="ar-SA"/>
        </w:rPr>
        <w:t>持续深化国资监管职能转变，深入研究落实以管资本为主的实践举措，跟踪督促权责清单规范执行情况，积极推动落实构建国资监管大格局各项任务，固根基、补短板、强弱项，确保法治建设工作取得实质性提升。</w:t>
      </w:r>
    </w:p>
    <w:p>
      <w:pPr>
        <w:pStyle w:val="2"/>
        <w:keepNext w:val="0"/>
        <w:keepLines w:val="0"/>
        <w:pageBreakBefore w:val="0"/>
        <w:widowControl w:val="0"/>
        <w:kinsoku/>
        <w:wordWrap/>
        <w:overflowPunct/>
        <w:topLinePunct w:val="0"/>
        <w:autoSpaceDE/>
        <w:autoSpaceDN/>
        <w:bidi w:val="0"/>
        <w:spacing w:line="586" w:lineRule="exact"/>
        <w:ind w:leftChars="0" w:firstLine="643"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2.加强</w:t>
      </w:r>
      <w:r>
        <w:rPr>
          <w:rFonts w:hint="default" w:ascii="楷体_GB2312" w:hAnsi="楷体_GB2312" w:eastAsia="楷体_GB2312" w:cs="楷体_GB2312"/>
          <w:b/>
          <w:bCs/>
          <w:color w:val="auto"/>
          <w:kern w:val="2"/>
          <w:sz w:val="32"/>
          <w:szCs w:val="32"/>
          <w:lang w:val="en-US" w:eastAsia="zh-CN" w:bidi="ar-SA"/>
        </w:rPr>
        <w:t>学习，</w:t>
      </w:r>
      <w:r>
        <w:rPr>
          <w:rFonts w:hint="eastAsia" w:ascii="楷体_GB2312" w:hAnsi="楷体_GB2312" w:eastAsia="楷体_GB2312" w:cs="楷体_GB2312"/>
          <w:b/>
          <w:bCs/>
          <w:color w:val="auto"/>
          <w:kern w:val="2"/>
          <w:sz w:val="32"/>
          <w:szCs w:val="32"/>
          <w:lang w:val="en-US" w:eastAsia="zh-CN" w:bidi="ar-SA"/>
        </w:rPr>
        <w:t>强化干部职工法治意识。</w:t>
      </w:r>
      <w:r>
        <w:rPr>
          <w:rFonts w:hint="eastAsia" w:ascii="仿宋_GB2312" w:hAnsi="Times New Roman" w:eastAsia="仿宋_GB2312" w:cstheme="minorBidi"/>
          <w:color w:val="auto"/>
          <w:kern w:val="2"/>
          <w:sz w:val="32"/>
          <w:szCs w:val="32"/>
          <w:lang w:val="en-US" w:eastAsia="zh-CN" w:bidi="ar-SA"/>
        </w:rPr>
        <w:t>把深入学习贯彻习近平法治思想，作为全体干部职工的“必修课”，提升全体干部职工法律知识和理论素养。同时，继续扎实开展“局长讲法”“科长讲法”活动，全面营造法治学习日常化、日常工作法治化的学法用法浓厚氛围。</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6" w:lineRule="exact"/>
        <w:ind w:leftChars="0" w:right="0" w:rightChars="0" w:firstLine="643" w:firstLineChars="200"/>
        <w:jc w:val="both"/>
        <w:textAlignment w:val="auto"/>
        <w:outlineLvl w:val="9"/>
        <w:rPr>
          <w:rFonts w:hint="eastAsia" w:ascii="仿宋_GB2312" w:hAnsi="仿宋_GB2312" w:eastAsia="仿宋_GB2312" w:cs="仿宋_GB2312"/>
          <w:caps w:val="0"/>
          <w:color w:val="auto"/>
          <w:spacing w:val="0"/>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3.深入普法，提升法治宣传教育效果。</w:t>
      </w:r>
      <w:r>
        <w:rPr>
          <w:rFonts w:hint="eastAsia" w:ascii="仿宋_GB2312" w:hAnsi="仿宋_GB2312" w:eastAsia="仿宋_GB2312" w:cs="仿宋_GB2312"/>
          <w:b/>
          <w:bCs/>
          <w:caps w:val="0"/>
          <w:color w:val="auto"/>
          <w:spacing w:val="0"/>
          <w:sz w:val="32"/>
          <w:szCs w:val="32"/>
          <w:lang w:val="en-US" w:eastAsia="zh-CN"/>
        </w:rPr>
        <w:t>一是</w:t>
      </w:r>
      <w:r>
        <w:rPr>
          <w:rFonts w:hint="eastAsia" w:ascii="仿宋_GB2312" w:hAnsi="仿宋_GB2312" w:eastAsia="仿宋_GB2312" w:cs="仿宋_GB2312"/>
          <w:caps w:val="0"/>
          <w:color w:val="auto"/>
          <w:spacing w:val="0"/>
          <w:sz w:val="32"/>
          <w:szCs w:val="32"/>
          <w:lang w:val="en-US" w:eastAsia="zh-CN"/>
        </w:rPr>
        <w:t>加强新媒体在普法宣传中的运用，充分发挥我局网站、“晋城工信”公众号、融媒体工作室的“窗口”作用，向广大企业和群众宣传工业发展、信息化建设和国有企业领域的法律法规和政策，增强普法工作的互动性；</w:t>
      </w:r>
      <w:r>
        <w:rPr>
          <w:rFonts w:hint="eastAsia" w:ascii="仿宋_GB2312" w:hAnsi="仿宋_GB2312" w:eastAsia="仿宋_GB2312" w:cs="仿宋_GB2312"/>
          <w:b/>
          <w:bCs/>
          <w:caps w:val="0"/>
          <w:color w:val="auto"/>
          <w:spacing w:val="0"/>
          <w:sz w:val="32"/>
          <w:szCs w:val="32"/>
          <w:lang w:val="en-US" w:eastAsia="zh-CN"/>
        </w:rPr>
        <w:t>二是</w:t>
      </w:r>
      <w:r>
        <w:rPr>
          <w:rFonts w:hint="eastAsia" w:ascii="仿宋_GB2312" w:hAnsi="仿宋_GB2312" w:eastAsia="仿宋_GB2312" w:cs="仿宋_GB2312"/>
          <w:caps w:val="0"/>
          <w:color w:val="auto"/>
          <w:spacing w:val="0"/>
          <w:sz w:val="32"/>
          <w:szCs w:val="32"/>
          <w:lang w:val="en-US" w:eastAsia="zh-CN"/>
        </w:rPr>
        <w:t>坚持深入群众进行调研，了解群众对普法教育内容的需求，有针对性的开展法律讲座，邀请律师以身边的实例来增强普法宣传教育的说服力和生动性。</w:t>
      </w:r>
    </w:p>
    <w:p>
      <w:pPr>
        <w:keepNext w:val="0"/>
        <w:keepLines w:val="0"/>
        <w:pageBreakBefore w:val="0"/>
        <w:widowControl w:val="0"/>
        <w:numPr>
          <w:ilvl w:val="0"/>
          <w:numId w:val="0"/>
        </w:numPr>
        <w:kinsoku/>
        <w:wordWrap/>
        <w:overflowPunct/>
        <w:topLinePunct w:val="0"/>
        <w:autoSpaceDE/>
        <w:autoSpaceDN/>
        <w:bidi w:val="0"/>
        <w:spacing w:line="58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五、对全市加强法治政府建设的意见和建议。</w:t>
      </w:r>
    </w:p>
    <w:p>
      <w:pPr>
        <w:pStyle w:val="2"/>
        <w:keepNext w:val="0"/>
        <w:keepLines w:val="0"/>
        <w:pageBreakBefore w:val="0"/>
        <w:kinsoku/>
        <w:wordWrap/>
        <w:overflowPunct/>
        <w:topLinePunct w:val="0"/>
        <w:autoSpaceDE/>
        <w:autoSpaceDN/>
        <w:bidi w:val="0"/>
        <w:spacing w:line="586" w:lineRule="exact"/>
        <w:ind w:firstLine="640"/>
        <w:textAlignment w:val="auto"/>
        <w:rPr>
          <w:rFonts w:hint="eastAsia" w:ascii="仿宋_GB2312" w:hAnsi="宋体" w:eastAsia="仿宋_GB2312" w:cs="仿宋_GB2312"/>
          <w:i w:val="0"/>
          <w:iCs w:val="0"/>
          <w:caps w:val="0"/>
          <w:color w:val="333333"/>
          <w:spacing w:val="0"/>
          <w:sz w:val="31"/>
          <w:szCs w:val="31"/>
          <w:shd w:val="clear" w:fill="FFFFFF"/>
          <w:lang w:eastAsia="zh-CN"/>
        </w:rPr>
      </w:pPr>
      <w:r>
        <w:rPr>
          <w:rFonts w:ascii="仿宋_GB2312" w:hAnsi="宋体" w:eastAsia="仿宋_GB2312" w:cs="仿宋_GB2312"/>
          <w:i w:val="0"/>
          <w:iCs w:val="0"/>
          <w:caps w:val="0"/>
          <w:color w:val="333333"/>
          <w:spacing w:val="0"/>
          <w:sz w:val="31"/>
          <w:szCs w:val="31"/>
          <w:shd w:val="clear" w:fill="FFFFFF"/>
        </w:rPr>
        <w:t>1.进一步</w:t>
      </w:r>
      <w:r>
        <w:rPr>
          <w:rFonts w:hint="eastAsia" w:ascii="仿宋_GB2312" w:hAnsi="宋体" w:eastAsia="仿宋_GB2312" w:cs="仿宋_GB2312"/>
          <w:i w:val="0"/>
          <w:iCs w:val="0"/>
          <w:caps w:val="0"/>
          <w:color w:val="333333"/>
          <w:spacing w:val="0"/>
          <w:sz w:val="31"/>
          <w:szCs w:val="31"/>
          <w:shd w:val="clear" w:fill="FFFFFF"/>
          <w:lang w:eastAsia="zh-CN"/>
        </w:rPr>
        <w:t>建立健全公众意见采纳反馈机制，认真归纳分析民意表达，对社会关切积极回应，提高公众参与的实效性。</w:t>
      </w:r>
    </w:p>
    <w:p>
      <w:pPr>
        <w:pStyle w:val="3"/>
        <w:keepNext w:val="0"/>
        <w:keepLines w:val="0"/>
        <w:pageBreakBefore w:val="0"/>
        <w:kinsoku/>
        <w:wordWrap/>
        <w:overflowPunct/>
        <w:topLinePunct w:val="0"/>
        <w:autoSpaceDE/>
        <w:autoSpaceDN/>
        <w:bidi w:val="0"/>
        <w:spacing w:line="586" w:lineRule="exact"/>
        <w:ind w:left="0" w:leftChars="0" w:firstLine="620" w:firstLineChars="200"/>
        <w:textAlignment w:val="auto"/>
        <w:rPr>
          <w:rFonts w:hint="eastAsia" w:ascii="仿宋_GB2312" w:hAnsi="宋体" w:eastAsia="仿宋_GB2312" w:cs="仿宋_GB2312"/>
          <w:i w:val="0"/>
          <w:iCs w:val="0"/>
          <w:caps w:val="0"/>
          <w:color w:val="333333"/>
          <w:spacing w:val="0"/>
          <w:sz w:val="31"/>
          <w:szCs w:val="31"/>
          <w:shd w:val="clear" w:fill="FFFFFF"/>
          <w:lang w:eastAsia="zh-CN"/>
        </w:rPr>
      </w:pPr>
      <w:r>
        <w:rPr>
          <w:rFonts w:hint="eastAsia" w:ascii="仿宋_GB2312" w:hAnsi="宋体" w:eastAsia="仿宋_GB2312" w:cs="仿宋_GB2312"/>
          <w:i w:val="0"/>
          <w:iCs w:val="0"/>
          <w:caps w:val="0"/>
          <w:color w:val="333333"/>
          <w:spacing w:val="0"/>
          <w:sz w:val="31"/>
          <w:szCs w:val="31"/>
          <w:shd w:val="clear" w:fill="FFFFFF"/>
          <w:lang w:val="en-US" w:eastAsia="zh-CN"/>
        </w:rPr>
        <w:t>2.进一步</w:t>
      </w:r>
      <w:r>
        <w:rPr>
          <w:rFonts w:ascii="仿宋_GB2312" w:hAnsi="宋体" w:eastAsia="仿宋_GB2312" w:cs="仿宋_GB2312"/>
          <w:i w:val="0"/>
          <w:iCs w:val="0"/>
          <w:caps w:val="0"/>
          <w:color w:val="333333"/>
          <w:spacing w:val="0"/>
          <w:sz w:val="31"/>
          <w:szCs w:val="31"/>
          <w:shd w:val="clear" w:fill="FFFFFF"/>
        </w:rPr>
        <w:t>深化行政管理体制改革，转变政府职能，合理划分和依法规范各级行政机关的职能和权限, 实现政府职责、机构和编制的法定化。</w:t>
      </w:r>
      <w:r>
        <w:rPr>
          <w:rFonts w:hint="eastAsia" w:ascii="仿宋_GB2312" w:hAnsi="宋体" w:eastAsia="仿宋_GB2312" w:cs="仿宋_GB2312"/>
          <w:i w:val="0"/>
          <w:iCs w:val="0"/>
          <w:caps w:val="0"/>
          <w:color w:val="333333"/>
          <w:spacing w:val="0"/>
          <w:sz w:val="31"/>
          <w:szCs w:val="31"/>
          <w:shd w:val="clear" w:fill="FFFFFF"/>
        </w:rPr>
        <w:br w:type="textWrapping"/>
      </w:r>
      <w:r>
        <w:rPr>
          <w:rFonts w:hint="eastAsia" w:ascii="仿宋_GB2312" w:hAnsi="宋体" w:eastAsia="仿宋_GB2312" w:cs="仿宋_GB2312"/>
          <w:i w:val="0"/>
          <w:iCs w:val="0"/>
          <w:caps w:val="0"/>
          <w:color w:val="333333"/>
          <w:spacing w:val="0"/>
          <w:sz w:val="31"/>
          <w:szCs w:val="31"/>
          <w:shd w:val="clear" w:fill="FFFFFF"/>
        </w:rPr>
        <w:t>    </w:t>
      </w:r>
    </w:p>
    <w:p>
      <w:pPr>
        <w:pStyle w:val="2"/>
        <w:keepNext w:val="0"/>
        <w:keepLines w:val="0"/>
        <w:pageBreakBefore w:val="0"/>
        <w:kinsoku/>
        <w:wordWrap/>
        <w:overflowPunct/>
        <w:topLinePunct w:val="0"/>
        <w:autoSpaceDE/>
        <w:autoSpaceDN/>
        <w:bidi w:val="0"/>
        <w:spacing w:line="586" w:lineRule="exact"/>
        <w:textAlignment w:val="auto"/>
        <w:rPr>
          <w:rFonts w:hint="eastAsia"/>
          <w:lang w:val="en-US"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6" w:lineRule="exact"/>
        <w:ind w:right="0" w:rightChars="0"/>
        <w:jc w:val="both"/>
        <w:textAlignment w:val="auto"/>
        <w:outlineLvl w:val="9"/>
        <w:rPr>
          <w:rFonts w:hint="eastAsia" w:ascii="仿宋_GB2312" w:hAnsi="仿宋_GB2312" w:eastAsia="仿宋_GB2312" w:cs="仿宋_GB2312"/>
          <w:caps w:val="0"/>
          <w:color w:val="auto"/>
          <w:spacing w:val="0"/>
          <w:sz w:val="32"/>
          <w:szCs w:val="32"/>
          <w:lang w:val="en-US"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6" w:lineRule="exact"/>
        <w:ind w:right="0" w:rightChars="0"/>
        <w:jc w:val="both"/>
        <w:textAlignment w:val="auto"/>
        <w:outlineLvl w:val="9"/>
        <w:rPr>
          <w:rFonts w:hint="eastAsia" w:ascii="仿宋_GB2312" w:hAnsi="仿宋_GB2312" w:eastAsia="仿宋_GB2312" w:cs="仿宋_GB2312"/>
          <w:caps w:val="0"/>
          <w:color w:val="auto"/>
          <w:spacing w:val="0"/>
          <w:sz w:val="32"/>
          <w:szCs w:val="32"/>
          <w:lang w:val="en-US"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6" w:lineRule="exact"/>
        <w:ind w:leftChars="0" w:right="0" w:rightChars="0" w:firstLine="640" w:firstLineChars="200"/>
        <w:jc w:val="both"/>
        <w:textAlignment w:val="auto"/>
        <w:outlineLvl w:val="9"/>
        <w:rPr>
          <w:rFonts w:hint="eastAsia" w:ascii="仿宋_GB2312" w:hAnsi="仿宋_GB2312" w:eastAsia="仿宋_GB2312" w:cs="仿宋_GB2312"/>
          <w:caps w:val="0"/>
          <w:color w:val="auto"/>
          <w:spacing w:val="0"/>
          <w:sz w:val="32"/>
          <w:szCs w:val="32"/>
          <w:lang w:val="en-US"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6" w:lineRule="exact"/>
        <w:ind w:leftChars="0" w:right="0" w:rightChars="0" w:firstLine="3840" w:firstLineChars="1200"/>
        <w:jc w:val="both"/>
        <w:textAlignment w:val="auto"/>
        <w:outlineLvl w:val="9"/>
        <w:rPr>
          <w:rFonts w:hint="eastAsia" w:ascii="仿宋_GB2312" w:hAnsi="仿宋_GB2312" w:eastAsia="仿宋_GB2312" w:cs="仿宋_GB2312"/>
          <w:caps w:val="0"/>
          <w:color w:val="auto"/>
          <w:spacing w:val="0"/>
          <w:sz w:val="32"/>
          <w:szCs w:val="32"/>
          <w:lang w:val="en-US" w:eastAsia="zh-CN"/>
        </w:rPr>
      </w:pPr>
      <w:r>
        <w:rPr>
          <w:rFonts w:hint="eastAsia" w:ascii="仿宋_GB2312" w:hAnsi="仿宋_GB2312" w:eastAsia="仿宋_GB2312" w:cs="仿宋_GB2312"/>
          <w:caps w:val="0"/>
          <w:color w:val="auto"/>
          <w:spacing w:val="0"/>
          <w:sz w:val="32"/>
          <w:szCs w:val="32"/>
          <w:lang w:val="en-US" w:eastAsia="zh-CN"/>
        </w:rPr>
        <w:t>晋城市工业和信息化局</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6" w:lineRule="exact"/>
        <w:ind w:leftChars="0" w:right="0" w:rightChars="0" w:firstLine="4160" w:firstLineChars="1300"/>
        <w:jc w:val="both"/>
        <w:textAlignment w:val="auto"/>
        <w:outlineLvl w:val="9"/>
        <w:rPr>
          <w:rFonts w:hint="default" w:ascii="仿宋_GB2312" w:hAnsi="仿宋_GB2312" w:eastAsia="仿宋_GB2312" w:cs="仿宋_GB2312"/>
          <w:caps w:val="0"/>
          <w:color w:val="auto"/>
          <w:spacing w:val="0"/>
          <w:sz w:val="32"/>
          <w:szCs w:val="32"/>
          <w:lang w:val="en-US" w:eastAsia="zh-CN"/>
        </w:rPr>
      </w:pPr>
      <w:r>
        <w:rPr>
          <w:rFonts w:hint="eastAsia" w:ascii="仿宋_GB2312" w:hAnsi="仿宋_GB2312" w:eastAsia="仿宋_GB2312" w:cs="仿宋_GB2312"/>
          <w:caps w:val="0"/>
          <w:color w:val="auto"/>
          <w:spacing w:val="0"/>
          <w:sz w:val="32"/>
          <w:szCs w:val="32"/>
          <w:lang w:val="en-US" w:eastAsia="zh-CN"/>
        </w:rPr>
        <w:t>2021年12月31日</w:t>
      </w:r>
    </w:p>
    <w:p>
      <w:pPr>
        <w:pStyle w:val="9"/>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fill="FFFFFF"/>
        <w:kinsoku/>
        <w:wordWrap/>
        <w:overflowPunct/>
        <w:topLinePunct w:val="0"/>
        <w:autoSpaceDE/>
        <w:autoSpaceDN/>
        <w:bidi w:val="0"/>
        <w:adjustRightInd/>
        <w:snapToGrid/>
        <w:spacing w:before="0" w:beforeAutospacing="0" w:after="0" w:afterAutospacing="0" w:line="586" w:lineRule="exact"/>
        <w:ind w:left="0" w:right="0" w:firstLine="480"/>
        <w:jc w:val="both"/>
        <w:textAlignment w:val="auto"/>
        <w:rPr>
          <w:rFonts w:hint="eastAsia" w:eastAsia="仿宋_GB2312" w:cs="Times New Roman"/>
          <w:color w:val="auto"/>
          <w:sz w:val="32"/>
          <w:szCs w:val="32"/>
          <w:shd w:val="clear" w:color="auto" w:fill="FFFFFF"/>
          <w:lang w:eastAsia="zh-CN"/>
        </w:rPr>
      </w:pPr>
    </w:p>
    <w:p>
      <w:pPr>
        <w:keepNext w:val="0"/>
        <w:keepLines w:val="0"/>
        <w:pageBreakBefore w:val="0"/>
        <w:kinsoku/>
        <w:wordWrap/>
        <w:overflowPunct/>
        <w:topLinePunct w:val="0"/>
        <w:autoSpaceDE/>
        <w:autoSpaceDN/>
        <w:bidi w:val="0"/>
        <w:spacing w:line="586" w:lineRule="exact"/>
        <w:jc w:val="both"/>
        <w:textAlignment w:val="auto"/>
        <w:rPr>
          <w:color w:val="auto"/>
        </w:rPr>
      </w:pPr>
    </w:p>
    <w:sectPr>
      <w:footerReference r:id="rId4" w:type="first"/>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posOffset>10160</wp:posOffset>
              </wp:positionH>
              <wp:positionV relativeFrom="paragraph">
                <wp:posOffset>-139065</wp:posOffset>
              </wp:positionV>
              <wp:extent cx="5253990" cy="4178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53990" cy="417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8pt;margin-top:-10.95pt;height:32.9pt;width:413.7pt;mso-position-horizontal-relative:margin;z-index:251659264;mso-width-relative:page;mso-height-relative:page;" filled="f" stroked="f" coordsize="21600,21600" o:gfxdata="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TavrO1wAAAAgBAAAPAAAAAAAAAAEAIAAAACIAAABkcnMvZG93bnJl&#10;di54bWxQSwECFAAUAAAACACHTuJAQIfEeDcCAABiBAAADgAAAAAAAAABACAAAAAmAQAAZHJzL2Uy&#10;b0RvYy54bWxQSwUGAAAAAAYABgBZAQAAzwUAAAAA&#10;">
              <v:fill on="f" focussize="0,0"/>
              <v:stroke on="f" weight="0.5pt"/>
              <v:imagedata o:title=""/>
              <o:lock v:ext="edit" aspectratio="f"/>
              <v:textbox inset="0mm,0mm,0mm,0mm">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70485</wp:posOffset>
              </wp:positionH>
              <wp:positionV relativeFrom="paragraph">
                <wp:posOffset>-86995</wp:posOffset>
              </wp:positionV>
              <wp:extent cx="5133340" cy="3136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33340" cy="313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55pt;margin-top:-6.85pt;height:24.7pt;width:404.2pt;mso-position-horizontal-relative:margin;z-index:251660288;mso-width-relative:page;mso-height-relative:page;" filled="f" stroked="f" coordsize="21600,21600" o:gfxdata="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SL9HPYAAAACQEAAA8AAAAAAAAAAQAgAAAAIgAAAGRycy9kb3ducmV2&#10;LnhtbFBLAQIUABQAAAAIAIdO4kA4v5JANQIAAGIEAAAOAAAAAAAAAAEAIAAAACcBAABkcnMvZTJv&#10;RG9jLnhtbFBLBQYAAAAABgAGAFkBAADOBQAAAAA=&#10;">
              <v:fill on="f" focussize="0,0"/>
              <v:stroke on="f" weight="0.5pt"/>
              <v:imagedata o:title=""/>
              <o:lock v:ext="edit" aspectratio="f"/>
              <v:textbox inset="0mm,0mm,0mm,0mm">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GFiOTY1OGY2ZDdlODAyNzM4NmJhYTkwMjRmNzMifQ=="/>
    <w:docVar w:name="KSO_WPS_MARK_KEY" w:val="70cc02a5-9c75-4c1f-b7bf-5ede6b9e346a"/>
  </w:docVars>
  <w:rsids>
    <w:rsidRoot w:val="00000000"/>
    <w:rsid w:val="01497052"/>
    <w:rsid w:val="01E82E44"/>
    <w:rsid w:val="02696E2C"/>
    <w:rsid w:val="038E58A3"/>
    <w:rsid w:val="040F24F9"/>
    <w:rsid w:val="04273EAF"/>
    <w:rsid w:val="04A052CF"/>
    <w:rsid w:val="04C52426"/>
    <w:rsid w:val="04F25A5A"/>
    <w:rsid w:val="050E355F"/>
    <w:rsid w:val="056C6D08"/>
    <w:rsid w:val="07554468"/>
    <w:rsid w:val="07CB5CCC"/>
    <w:rsid w:val="08075378"/>
    <w:rsid w:val="088E1C60"/>
    <w:rsid w:val="08BC2688"/>
    <w:rsid w:val="0A595A5C"/>
    <w:rsid w:val="0A5F8679"/>
    <w:rsid w:val="0A7979BD"/>
    <w:rsid w:val="0AAF6AEC"/>
    <w:rsid w:val="0AC3470A"/>
    <w:rsid w:val="0AFA7172"/>
    <w:rsid w:val="0B014A7F"/>
    <w:rsid w:val="0B076C4F"/>
    <w:rsid w:val="0BB87DF6"/>
    <w:rsid w:val="0C2B47BB"/>
    <w:rsid w:val="0C4F66B9"/>
    <w:rsid w:val="0E3B459A"/>
    <w:rsid w:val="0FB16098"/>
    <w:rsid w:val="10010439"/>
    <w:rsid w:val="10023338"/>
    <w:rsid w:val="102C11E5"/>
    <w:rsid w:val="109B2A26"/>
    <w:rsid w:val="11E52FD4"/>
    <w:rsid w:val="121146B5"/>
    <w:rsid w:val="12196415"/>
    <w:rsid w:val="12C50564"/>
    <w:rsid w:val="12D53337"/>
    <w:rsid w:val="139D7CB6"/>
    <w:rsid w:val="13A459E6"/>
    <w:rsid w:val="13C85BDB"/>
    <w:rsid w:val="141B1DD1"/>
    <w:rsid w:val="142C0535"/>
    <w:rsid w:val="149D500F"/>
    <w:rsid w:val="14A861FC"/>
    <w:rsid w:val="14D72A24"/>
    <w:rsid w:val="14EB5E98"/>
    <w:rsid w:val="14FB58E6"/>
    <w:rsid w:val="153A00FC"/>
    <w:rsid w:val="15C14B7E"/>
    <w:rsid w:val="16935D4E"/>
    <w:rsid w:val="170C6F6A"/>
    <w:rsid w:val="176E7267"/>
    <w:rsid w:val="17A0098A"/>
    <w:rsid w:val="18337F16"/>
    <w:rsid w:val="184040B7"/>
    <w:rsid w:val="18564D00"/>
    <w:rsid w:val="18705D07"/>
    <w:rsid w:val="18CA4420"/>
    <w:rsid w:val="19750DEA"/>
    <w:rsid w:val="19B12135"/>
    <w:rsid w:val="19D00C7A"/>
    <w:rsid w:val="1A701DBE"/>
    <w:rsid w:val="1A720658"/>
    <w:rsid w:val="1A980029"/>
    <w:rsid w:val="1ADF64D9"/>
    <w:rsid w:val="1AEC1544"/>
    <w:rsid w:val="1B17703F"/>
    <w:rsid w:val="1B313D15"/>
    <w:rsid w:val="1C0307B3"/>
    <w:rsid w:val="1CFA313A"/>
    <w:rsid w:val="1D4F179B"/>
    <w:rsid w:val="1E0B1B95"/>
    <w:rsid w:val="1EA66970"/>
    <w:rsid w:val="1ED159F9"/>
    <w:rsid w:val="1EDD647B"/>
    <w:rsid w:val="1F2F3A77"/>
    <w:rsid w:val="218A0D60"/>
    <w:rsid w:val="219B7FC8"/>
    <w:rsid w:val="222A2DD7"/>
    <w:rsid w:val="223773DF"/>
    <w:rsid w:val="22796BC9"/>
    <w:rsid w:val="22922845"/>
    <w:rsid w:val="22E74666"/>
    <w:rsid w:val="22F6617F"/>
    <w:rsid w:val="23710541"/>
    <w:rsid w:val="239809E7"/>
    <w:rsid w:val="23AD6BBE"/>
    <w:rsid w:val="241737F9"/>
    <w:rsid w:val="24917E66"/>
    <w:rsid w:val="25447010"/>
    <w:rsid w:val="254F6339"/>
    <w:rsid w:val="25F83876"/>
    <w:rsid w:val="263C7BC6"/>
    <w:rsid w:val="267056A8"/>
    <w:rsid w:val="269541DB"/>
    <w:rsid w:val="26C94E31"/>
    <w:rsid w:val="26EE2B9C"/>
    <w:rsid w:val="27623FD9"/>
    <w:rsid w:val="279652AA"/>
    <w:rsid w:val="27995865"/>
    <w:rsid w:val="28196D8B"/>
    <w:rsid w:val="29E02384"/>
    <w:rsid w:val="29FFD572"/>
    <w:rsid w:val="2A033701"/>
    <w:rsid w:val="2A3B2BA7"/>
    <w:rsid w:val="2A9558EB"/>
    <w:rsid w:val="2CB76940"/>
    <w:rsid w:val="2D0A6D65"/>
    <w:rsid w:val="2D915B7A"/>
    <w:rsid w:val="2EDB724E"/>
    <w:rsid w:val="2F4D757E"/>
    <w:rsid w:val="2F970FC7"/>
    <w:rsid w:val="306A4895"/>
    <w:rsid w:val="30FD2073"/>
    <w:rsid w:val="30FF76CD"/>
    <w:rsid w:val="31895FAB"/>
    <w:rsid w:val="31D07980"/>
    <w:rsid w:val="3222634E"/>
    <w:rsid w:val="32AF5AB3"/>
    <w:rsid w:val="32D428CC"/>
    <w:rsid w:val="32D76554"/>
    <w:rsid w:val="32DE5569"/>
    <w:rsid w:val="32E71CD4"/>
    <w:rsid w:val="340440AF"/>
    <w:rsid w:val="3494518D"/>
    <w:rsid w:val="34CA593E"/>
    <w:rsid w:val="35254ADA"/>
    <w:rsid w:val="35A714B8"/>
    <w:rsid w:val="36170E30"/>
    <w:rsid w:val="365428E2"/>
    <w:rsid w:val="36C35F39"/>
    <w:rsid w:val="36E20E96"/>
    <w:rsid w:val="37943FAB"/>
    <w:rsid w:val="37C8258B"/>
    <w:rsid w:val="38233C81"/>
    <w:rsid w:val="38C42E2F"/>
    <w:rsid w:val="39550CC8"/>
    <w:rsid w:val="3A3B1EB1"/>
    <w:rsid w:val="3A532FD9"/>
    <w:rsid w:val="3B532A20"/>
    <w:rsid w:val="3B916DFA"/>
    <w:rsid w:val="3BBD7006"/>
    <w:rsid w:val="3BE64AC3"/>
    <w:rsid w:val="3C4E0814"/>
    <w:rsid w:val="3CD72E6C"/>
    <w:rsid w:val="3D19083B"/>
    <w:rsid w:val="3D603911"/>
    <w:rsid w:val="3D9E0A6D"/>
    <w:rsid w:val="3DD063AB"/>
    <w:rsid w:val="3DF1218D"/>
    <w:rsid w:val="3E5957A6"/>
    <w:rsid w:val="3EB51F7A"/>
    <w:rsid w:val="3EDE8C3E"/>
    <w:rsid w:val="3FB062A7"/>
    <w:rsid w:val="3FC06D9A"/>
    <w:rsid w:val="3FED256D"/>
    <w:rsid w:val="40A776BA"/>
    <w:rsid w:val="4122568F"/>
    <w:rsid w:val="41392A71"/>
    <w:rsid w:val="419F4836"/>
    <w:rsid w:val="41CB5A72"/>
    <w:rsid w:val="41D50E8F"/>
    <w:rsid w:val="425767A1"/>
    <w:rsid w:val="431360D1"/>
    <w:rsid w:val="43C5154F"/>
    <w:rsid w:val="45496F4E"/>
    <w:rsid w:val="46002466"/>
    <w:rsid w:val="46057EEB"/>
    <w:rsid w:val="47850679"/>
    <w:rsid w:val="47CC027A"/>
    <w:rsid w:val="487E055B"/>
    <w:rsid w:val="48F608FB"/>
    <w:rsid w:val="496D4771"/>
    <w:rsid w:val="49F06C7B"/>
    <w:rsid w:val="4C157E03"/>
    <w:rsid w:val="4C1F0930"/>
    <w:rsid w:val="4CC8414B"/>
    <w:rsid w:val="4CE81657"/>
    <w:rsid w:val="4D27431C"/>
    <w:rsid w:val="4DF75A04"/>
    <w:rsid w:val="4DFC5EFD"/>
    <w:rsid w:val="4E032AC3"/>
    <w:rsid w:val="4E2B2929"/>
    <w:rsid w:val="4E467ECA"/>
    <w:rsid w:val="4EBA4A52"/>
    <w:rsid w:val="4F6C045A"/>
    <w:rsid w:val="4FBF2872"/>
    <w:rsid w:val="502512DB"/>
    <w:rsid w:val="50832EA9"/>
    <w:rsid w:val="52A36D24"/>
    <w:rsid w:val="531C38DD"/>
    <w:rsid w:val="53F972CA"/>
    <w:rsid w:val="54183EF3"/>
    <w:rsid w:val="543F4555"/>
    <w:rsid w:val="54A110B7"/>
    <w:rsid w:val="54DC5015"/>
    <w:rsid w:val="54FC23F4"/>
    <w:rsid w:val="55D30EAB"/>
    <w:rsid w:val="563516A8"/>
    <w:rsid w:val="568159EF"/>
    <w:rsid w:val="57247FD4"/>
    <w:rsid w:val="57473072"/>
    <w:rsid w:val="583D1D35"/>
    <w:rsid w:val="589B1977"/>
    <w:rsid w:val="58EA0C85"/>
    <w:rsid w:val="59214AD1"/>
    <w:rsid w:val="593771C1"/>
    <w:rsid w:val="599D105A"/>
    <w:rsid w:val="5A7E23C0"/>
    <w:rsid w:val="5AA92F3A"/>
    <w:rsid w:val="5B0F42CB"/>
    <w:rsid w:val="5B8F6B92"/>
    <w:rsid w:val="5BBFF1E7"/>
    <w:rsid w:val="5BD35935"/>
    <w:rsid w:val="5C0601D3"/>
    <w:rsid w:val="5C1E2B30"/>
    <w:rsid w:val="5C4749FB"/>
    <w:rsid w:val="5CA52E5F"/>
    <w:rsid w:val="5CA90033"/>
    <w:rsid w:val="5D8A2A51"/>
    <w:rsid w:val="5D8A66E1"/>
    <w:rsid w:val="5DE38C1B"/>
    <w:rsid w:val="5E666C83"/>
    <w:rsid w:val="5EFF0198"/>
    <w:rsid w:val="5F1C31AD"/>
    <w:rsid w:val="5F1FF908"/>
    <w:rsid w:val="5F695F10"/>
    <w:rsid w:val="5F751175"/>
    <w:rsid w:val="5F79359C"/>
    <w:rsid w:val="5FFE02BA"/>
    <w:rsid w:val="5FFF0A95"/>
    <w:rsid w:val="603973CC"/>
    <w:rsid w:val="606B2FC8"/>
    <w:rsid w:val="60922CB6"/>
    <w:rsid w:val="61694E2A"/>
    <w:rsid w:val="61793A8E"/>
    <w:rsid w:val="61AC2911"/>
    <w:rsid w:val="61C36E6C"/>
    <w:rsid w:val="62BC7832"/>
    <w:rsid w:val="630F72EE"/>
    <w:rsid w:val="631F509D"/>
    <w:rsid w:val="64822D65"/>
    <w:rsid w:val="64D9152B"/>
    <w:rsid w:val="65317C19"/>
    <w:rsid w:val="65B060E1"/>
    <w:rsid w:val="65B763BD"/>
    <w:rsid w:val="670005B6"/>
    <w:rsid w:val="670D40B8"/>
    <w:rsid w:val="679C4C71"/>
    <w:rsid w:val="67A079EC"/>
    <w:rsid w:val="67A10744"/>
    <w:rsid w:val="67D623C3"/>
    <w:rsid w:val="68F05A70"/>
    <w:rsid w:val="691813D2"/>
    <w:rsid w:val="6A8C5210"/>
    <w:rsid w:val="6AF4031A"/>
    <w:rsid w:val="6B1846E3"/>
    <w:rsid w:val="6B2613D7"/>
    <w:rsid w:val="6B66188E"/>
    <w:rsid w:val="6BAB2AB2"/>
    <w:rsid w:val="6BF05547"/>
    <w:rsid w:val="6C7B7604"/>
    <w:rsid w:val="6C8DEC77"/>
    <w:rsid w:val="6C977953"/>
    <w:rsid w:val="6CDE3F45"/>
    <w:rsid w:val="6D020585"/>
    <w:rsid w:val="6D6804EF"/>
    <w:rsid w:val="6DAC1C14"/>
    <w:rsid w:val="6DE86B50"/>
    <w:rsid w:val="6ED41AF5"/>
    <w:rsid w:val="6EE41729"/>
    <w:rsid w:val="6EFBE5D2"/>
    <w:rsid w:val="6F292FFC"/>
    <w:rsid w:val="6F4738E9"/>
    <w:rsid w:val="6F7C3410"/>
    <w:rsid w:val="6F7E3F72"/>
    <w:rsid w:val="70672072"/>
    <w:rsid w:val="70C04679"/>
    <w:rsid w:val="70D507E1"/>
    <w:rsid w:val="71582A8B"/>
    <w:rsid w:val="71CD5C48"/>
    <w:rsid w:val="72B45866"/>
    <w:rsid w:val="72EF9278"/>
    <w:rsid w:val="73130B1A"/>
    <w:rsid w:val="7336360D"/>
    <w:rsid w:val="734DAF30"/>
    <w:rsid w:val="739F3A3A"/>
    <w:rsid w:val="73AA6D76"/>
    <w:rsid w:val="74C33669"/>
    <w:rsid w:val="757A2431"/>
    <w:rsid w:val="765560B7"/>
    <w:rsid w:val="76DA8442"/>
    <w:rsid w:val="76F663B1"/>
    <w:rsid w:val="77375749"/>
    <w:rsid w:val="77461F3F"/>
    <w:rsid w:val="77577ACB"/>
    <w:rsid w:val="781042A0"/>
    <w:rsid w:val="79EE7B6D"/>
    <w:rsid w:val="79FF453C"/>
    <w:rsid w:val="7A22451A"/>
    <w:rsid w:val="7A653449"/>
    <w:rsid w:val="7AB51F2D"/>
    <w:rsid w:val="7ACC559F"/>
    <w:rsid w:val="7AE11C9F"/>
    <w:rsid w:val="7BFF0FB1"/>
    <w:rsid w:val="7C864FB1"/>
    <w:rsid w:val="7D566216"/>
    <w:rsid w:val="7D605151"/>
    <w:rsid w:val="7D9A3DA7"/>
    <w:rsid w:val="7DC8024F"/>
    <w:rsid w:val="7DCD0FFB"/>
    <w:rsid w:val="7DFB6446"/>
    <w:rsid w:val="7DFD0AEE"/>
    <w:rsid w:val="7E7DD7A1"/>
    <w:rsid w:val="7E8D3DD9"/>
    <w:rsid w:val="7EDE3C01"/>
    <w:rsid w:val="7EFF2D95"/>
    <w:rsid w:val="7EFFB2AB"/>
    <w:rsid w:val="7F3F1E25"/>
    <w:rsid w:val="7F5F3EE4"/>
    <w:rsid w:val="7F777D4F"/>
    <w:rsid w:val="7F7FFCEE"/>
    <w:rsid w:val="7FAB6AD0"/>
    <w:rsid w:val="7FBD2B60"/>
    <w:rsid w:val="7FCE8A82"/>
    <w:rsid w:val="7FD3BD3B"/>
    <w:rsid w:val="7FEA3AFE"/>
    <w:rsid w:val="7FFF9783"/>
    <w:rsid w:val="9DEBD7D2"/>
    <w:rsid w:val="9E5AB9F7"/>
    <w:rsid w:val="9F5684AB"/>
    <w:rsid w:val="9FEF2DB0"/>
    <w:rsid w:val="A70B80FA"/>
    <w:rsid w:val="ADAEB321"/>
    <w:rsid w:val="B3BF3F3E"/>
    <w:rsid w:val="B5F97C41"/>
    <w:rsid w:val="BAEF5A08"/>
    <w:rsid w:val="BAFF8783"/>
    <w:rsid w:val="BBF78EED"/>
    <w:rsid w:val="BD1F43A2"/>
    <w:rsid w:val="BEFEB9CC"/>
    <w:rsid w:val="BFFF1456"/>
    <w:rsid w:val="CF7B0A63"/>
    <w:rsid w:val="D15BF157"/>
    <w:rsid w:val="D32F54E7"/>
    <w:rsid w:val="D5F3D733"/>
    <w:rsid w:val="D77E4293"/>
    <w:rsid w:val="D8FDB1AD"/>
    <w:rsid w:val="DB7BAEAC"/>
    <w:rsid w:val="DBE4B799"/>
    <w:rsid w:val="DE1FDB39"/>
    <w:rsid w:val="DEF701B3"/>
    <w:rsid w:val="DF5E6A69"/>
    <w:rsid w:val="DF6741F7"/>
    <w:rsid w:val="DF7F7214"/>
    <w:rsid w:val="E3FB8F22"/>
    <w:rsid w:val="E9FC0C04"/>
    <w:rsid w:val="ECB6DFD5"/>
    <w:rsid w:val="EF3DD6C9"/>
    <w:rsid w:val="EFBF2147"/>
    <w:rsid w:val="EFDFF624"/>
    <w:rsid w:val="F4DFC146"/>
    <w:rsid w:val="F7AA15ED"/>
    <w:rsid w:val="F7F9E9CD"/>
    <w:rsid w:val="F7FBD3B6"/>
    <w:rsid w:val="F7FF1FAB"/>
    <w:rsid w:val="F8B7DE62"/>
    <w:rsid w:val="FA99BA55"/>
    <w:rsid w:val="FB7F860B"/>
    <w:rsid w:val="FB9DBB04"/>
    <w:rsid w:val="FCFF2392"/>
    <w:rsid w:val="FD790A94"/>
    <w:rsid w:val="FDB7D757"/>
    <w:rsid w:val="FDE95CFB"/>
    <w:rsid w:val="FDEB0112"/>
    <w:rsid w:val="FE5F0EFD"/>
    <w:rsid w:val="FE62E93F"/>
    <w:rsid w:val="FEFE4AB2"/>
    <w:rsid w:val="FF6F91BA"/>
    <w:rsid w:val="FFBF9274"/>
    <w:rsid w:val="FFD39AB5"/>
    <w:rsid w:val="FFFF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宋体"/>
    </w:rPr>
  </w:style>
  <w:style w:type="paragraph" w:styleId="3">
    <w:name w:val="Body Text First Indent"/>
    <w:basedOn w:val="1"/>
    <w:qFormat/>
    <w:uiPriority w:val="0"/>
    <w:pPr>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2889</Words>
  <Characters>2939</Characters>
  <Lines>0</Lines>
  <Paragraphs>0</Paragraphs>
  <TotalTime>62</TotalTime>
  <ScaleCrop>false</ScaleCrop>
  <LinksUpToDate>false</LinksUpToDate>
  <CharactersWithSpaces>5044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Administrator</cp:lastModifiedBy>
  <cp:lastPrinted>2022-01-06T08:42:00Z</cp:lastPrinted>
  <dcterms:modified xsi:type="dcterms:W3CDTF">2024-03-04T09:09:37Z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D2B83499BC5A4F26B6B74DB1EBC4C650_12</vt:lpwstr>
  </property>
</Properties>
</file>