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586" w:lineRule="exact"/>
        <w:ind w:left="0" w:firstLine="63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586" w:lineRule="exact"/>
        <w:ind w:left="0" w:firstLine="63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00" w:lineRule="exact"/>
        <w:ind w:left="0" w:firstLine="629"/>
        <w:jc w:val="center"/>
        <w:textAlignment w:val="auto"/>
        <w:rPr>
          <w:rFonts w:hint="eastAsia" w:ascii="方正小标宋简体" w:hAnsi="方正小标宋简体" w:eastAsia="方正小标宋简体" w:cs="方正小标宋简体"/>
          <w:i w:val="0"/>
          <w:iCs w:val="0"/>
          <w:caps w:val="0"/>
          <w:color w:val="000000"/>
          <w:spacing w:val="0"/>
          <w:sz w:val="10"/>
          <w:szCs w:val="10"/>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586" w:lineRule="exact"/>
        <w:ind w:left="0" w:firstLine="630"/>
        <w:jc w:val="center"/>
        <w:textAlignment w:val="auto"/>
        <w:rPr>
          <w:rFonts w:ascii="黑体" w:hAnsi="宋体" w:eastAsia="黑体" w:cs="黑体"/>
          <w:i w:val="0"/>
          <w:iCs w:val="0"/>
          <w:caps w:val="0"/>
          <w:color w:val="000000"/>
          <w:spacing w:val="0"/>
          <w:sz w:val="31"/>
          <w:szCs w:val="31"/>
        </w:rPr>
      </w:pPr>
      <w:r>
        <w:rPr>
          <w:rFonts w:hint="eastAsia" w:ascii="方正小标宋简体" w:hAnsi="方正小标宋简体" w:eastAsia="方正小标宋简体" w:cs="方正小标宋简体"/>
          <w:i w:val="0"/>
          <w:iCs w:val="0"/>
          <w:caps w:val="0"/>
          <w:color w:val="000000"/>
          <w:spacing w:val="0"/>
          <w:sz w:val="44"/>
          <w:szCs w:val="44"/>
          <w:lang w:eastAsia="zh-CN"/>
        </w:rPr>
        <w:t>2023</w:t>
      </w:r>
      <w:r>
        <w:rPr>
          <w:rFonts w:hint="eastAsia" w:ascii="方正小标宋简体" w:hAnsi="方正小标宋简体" w:eastAsia="方正小标宋简体" w:cs="方正小标宋简体"/>
          <w:i w:val="0"/>
          <w:iCs w:val="0"/>
          <w:caps w:val="0"/>
          <w:color w:val="000000"/>
          <w:spacing w:val="0"/>
          <w:sz w:val="44"/>
          <w:szCs w:val="44"/>
        </w:rPr>
        <w:t>年政府信息公开工作年度报告</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586" w:lineRule="exact"/>
        <w:ind w:left="0" w:firstLine="630"/>
        <w:textAlignment w:val="auto"/>
        <w:rPr>
          <w:rFonts w:ascii="黑体" w:hAnsi="宋体" w:eastAsia="黑体" w:cs="黑体"/>
          <w:i w:val="0"/>
          <w:iCs w:val="0"/>
          <w:caps w:val="0"/>
          <w:color w:val="000000"/>
          <w:spacing w:val="0"/>
          <w:sz w:val="31"/>
          <w:szCs w:val="31"/>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586" w:lineRule="exact"/>
        <w:ind w:left="0" w:firstLine="630"/>
        <w:textAlignment w:val="auto"/>
        <w:rPr>
          <w:rFonts w:ascii="sans-serif" w:hAnsi="sans-serif" w:eastAsia="sans-serif" w:cs="sans-serif"/>
          <w:i w:val="0"/>
          <w:iCs w:val="0"/>
          <w:caps w:val="0"/>
          <w:color w:val="000000"/>
          <w:spacing w:val="0"/>
          <w:sz w:val="32"/>
          <w:szCs w:val="32"/>
        </w:rPr>
      </w:pPr>
      <w:r>
        <w:rPr>
          <w:rFonts w:ascii="黑体" w:hAnsi="宋体" w:eastAsia="黑体" w:cs="黑体"/>
          <w:i w:val="0"/>
          <w:iCs w:val="0"/>
          <w:caps w:val="0"/>
          <w:color w:val="000000"/>
          <w:spacing w:val="0"/>
          <w:sz w:val="32"/>
          <w:szCs w:val="32"/>
        </w:rPr>
        <w:t>一、总体情况</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left="0" w:firstLine="630"/>
        <w:jc w:val="left"/>
        <w:textAlignment w:val="auto"/>
        <w:rPr>
          <w:rFonts w:hint="default" w:ascii="仿宋_GB2312" w:hAnsi="sans-serif" w:eastAsia="仿宋_GB2312" w:cs="仿宋_GB2312"/>
          <w:i w:val="0"/>
          <w:iCs w:val="0"/>
          <w:caps w:val="0"/>
          <w:color w:val="070707"/>
          <w:spacing w:val="0"/>
          <w:sz w:val="32"/>
          <w:szCs w:val="32"/>
          <w:shd w:val="clear" w:fill="FFFFFF"/>
        </w:rPr>
      </w:pPr>
      <w:r>
        <w:rPr>
          <w:rFonts w:hint="eastAsia" w:ascii="仿宋_GB2312" w:hAnsi="sans-serif" w:eastAsia="仿宋_GB2312" w:cs="仿宋_GB2312"/>
          <w:i w:val="0"/>
          <w:iCs w:val="0"/>
          <w:caps w:val="0"/>
          <w:color w:val="070707"/>
          <w:spacing w:val="0"/>
          <w:sz w:val="32"/>
          <w:szCs w:val="32"/>
          <w:shd w:val="clear" w:fill="FFFFFF"/>
        </w:rPr>
        <w:t>本年度报告根据《中华人民共和国政府信息公开条例》（国务院令第711号，以下简称《条例》）和国务院办公厅政府信息与政务公开办公室《关于政府信息公开工作年度报告有关事项的通知》（国办公开办函〔2019〕60号）的要求编制，全文包括总体情况、主动公开政府信息情况、收到和处理政府信息公开申请情况、因政府信息公开工作被申请行政复议和提起行政诉讼情况、政府信息公开工作存在的主要问题及改进情况、其他需要报告的事项。</w:t>
      </w:r>
      <w:r>
        <w:rPr>
          <w:rFonts w:hint="eastAsia" w:ascii="仿宋_GB2312" w:hAnsi="sans-serif" w:eastAsia="仿宋_GB2312" w:cs="仿宋_GB2312"/>
          <w:i w:val="0"/>
          <w:iCs w:val="0"/>
          <w:caps w:val="0"/>
          <w:color w:val="070707"/>
          <w:spacing w:val="0"/>
          <w:sz w:val="32"/>
          <w:szCs w:val="32"/>
          <w:shd w:val="clear" w:fill="FFFFFF"/>
        </w:rPr>
        <w:t>本年度报告中所列数据的统计期限自</w:t>
      </w:r>
      <w:r>
        <w:rPr>
          <w:rFonts w:hint="eastAsia" w:ascii="仿宋_GB2312" w:hAnsi="sans-serif" w:eastAsia="仿宋_GB2312" w:cs="仿宋_GB2312"/>
          <w:i w:val="0"/>
          <w:iCs w:val="0"/>
          <w:caps w:val="0"/>
          <w:color w:val="070707"/>
          <w:spacing w:val="0"/>
          <w:sz w:val="32"/>
          <w:szCs w:val="32"/>
          <w:shd w:val="clear" w:fill="FFFFFF"/>
          <w:lang w:eastAsia="zh-CN"/>
        </w:rPr>
        <w:t>2023</w:t>
      </w:r>
      <w:r>
        <w:rPr>
          <w:rFonts w:hint="eastAsia" w:ascii="仿宋_GB2312" w:hAnsi="sans-serif" w:eastAsia="仿宋_GB2312" w:cs="仿宋_GB2312"/>
          <w:i w:val="0"/>
          <w:iCs w:val="0"/>
          <w:caps w:val="0"/>
          <w:color w:val="070707"/>
          <w:spacing w:val="0"/>
          <w:sz w:val="32"/>
          <w:szCs w:val="32"/>
          <w:shd w:val="clear" w:fill="FFFFFF"/>
        </w:rPr>
        <w:t>年1月1日起至</w:t>
      </w:r>
      <w:r>
        <w:rPr>
          <w:rFonts w:hint="eastAsia" w:ascii="仿宋_GB2312" w:hAnsi="sans-serif" w:eastAsia="仿宋_GB2312" w:cs="仿宋_GB2312"/>
          <w:i w:val="0"/>
          <w:iCs w:val="0"/>
          <w:caps w:val="0"/>
          <w:color w:val="070707"/>
          <w:spacing w:val="0"/>
          <w:sz w:val="32"/>
          <w:szCs w:val="32"/>
          <w:shd w:val="clear" w:fill="FFFFFF"/>
          <w:lang w:eastAsia="zh-CN"/>
        </w:rPr>
        <w:t>2023</w:t>
      </w:r>
      <w:r>
        <w:rPr>
          <w:rFonts w:hint="eastAsia" w:ascii="仿宋_GB2312" w:hAnsi="sans-serif" w:eastAsia="仿宋_GB2312" w:cs="仿宋_GB2312"/>
          <w:i w:val="0"/>
          <w:iCs w:val="0"/>
          <w:caps w:val="0"/>
          <w:color w:val="070707"/>
          <w:spacing w:val="0"/>
          <w:sz w:val="32"/>
          <w:szCs w:val="32"/>
          <w:shd w:val="clear" w:fill="FFFFFF"/>
        </w:rPr>
        <w:t>年12月31日止。本年度报告的电子版可在晋城市工业和信息化局网站</w:t>
      </w:r>
      <w:r>
        <w:rPr>
          <w:rFonts w:hint="eastAsia" w:ascii="仿宋_GB2312" w:hAnsi="sans-serif" w:eastAsia="仿宋_GB2312" w:cs="仿宋_GB2312"/>
          <w:i w:val="0"/>
          <w:iCs w:val="0"/>
          <w:caps w:val="0"/>
          <w:color w:val="070707"/>
          <w:spacing w:val="0"/>
          <w:sz w:val="32"/>
          <w:szCs w:val="32"/>
          <w:shd w:val="clear" w:fill="FFFFFF"/>
          <w:lang w:eastAsia="zh-CN"/>
        </w:rPr>
        <w:t>（</w:t>
      </w:r>
      <w:r>
        <w:rPr>
          <w:rFonts w:hint="eastAsia" w:ascii="仿宋_GB2312" w:hAnsi="sans-serif" w:eastAsia="仿宋_GB2312" w:cs="仿宋_GB2312"/>
          <w:i w:val="0"/>
          <w:iCs w:val="0"/>
          <w:caps w:val="0"/>
          <w:color w:val="070707"/>
          <w:spacing w:val="0"/>
          <w:sz w:val="32"/>
          <w:szCs w:val="32"/>
          <w:shd w:val="clear" w:fill="FFFFFF"/>
        </w:rPr>
        <w:t>https://xxgk.jcgov.gov.cn/szfgzbm/jcsgyhxxhj/zfxxgknb_31172/</w:t>
      </w:r>
      <w:r>
        <w:rPr>
          <w:rFonts w:hint="eastAsia" w:ascii="仿宋_GB2312" w:hAnsi="sans-serif" w:eastAsia="仿宋_GB2312" w:cs="仿宋_GB2312"/>
          <w:i w:val="0"/>
          <w:iCs w:val="0"/>
          <w:caps w:val="0"/>
          <w:color w:val="070707"/>
          <w:spacing w:val="0"/>
          <w:sz w:val="32"/>
          <w:szCs w:val="32"/>
          <w:shd w:val="clear" w:fill="FFFFFF"/>
          <w:lang w:eastAsia="zh-CN"/>
        </w:rPr>
        <w:t>）</w:t>
      </w:r>
      <w:r>
        <w:rPr>
          <w:rFonts w:hint="eastAsia" w:ascii="仿宋_GB2312" w:hAnsi="sans-serif" w:eastAsia="仿宋_GB2312" w:cs="仿宋_GB2312"/>
          <w:i w:val="0"/>
          <w:iCs w:val="0"/>
          <w:caps w:val="0"/>
          <w:color w:val="070707"/>
          <w:spacing w:val="0"/>
          <w:sz w:val="32"/>
          <w:szCs w:val="32"/>
          <w:shd w:val="clear" w:fill="FFFFFF"/>
        </w:rPr>
        <w:t>下载。如对本年度报告有任何疑问，请与晋城市工业和信息化局办公室联系（地址：晋城市政务服务中心东四楼449室，电话0356-2218747，电子邮箱:jcjxwbgs@163.com）。</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left="0" w:firstLine="630"/>
        <w:textAlignment w:val="auto"/>
        <w:rPr>
          <w:rFonts w:hint="default" w:ascii="sans-serif" w:hAnsi="sans-serif" w:eastAsia="sans-serif" w:cs="sans-serif"/>
          <w:i w:val="0"/>
          <w:iCs w:val="0"/>
          <w:caps w:val="0"/>
          <w:color w:val="000000"/>
          <w:spacing w:val="0"/>
          <w:sz w:val="32"/>
          <w:szCs w:val="32"/>
        </w:rPr>
      </w:pPr>
      <w:r>
        <w:rPr>
          <w:rStyle w:val="5"/>
          <w:rFonts w:ascii="楷体_GB2312" w:hAnsi="sans-serif" w:eastAsia="楷体_GB2312" w:cs="楷体_GB2312"/>
          <w:i w:val="0"/>
          <w:iCs w:val="0"/>
          <w:caps w:val="0"/>
          <w:color w:val="000000"/>
          <w:spacing w:val="0"/>
          <w:sz w:val="32"/>
          <w:szCs w:val="32"/>
        </w:rPr>
        <w:t>（一）</w:t>
      </w:r>
      <w:r>
        <w:rPr>
          <w:rStyle w:val="5"/>
          <w:rFonts w:hint="eastAsia" w:ascii="楷体_GB2312" w:hAnsi="sans-serif" w:eastAsia="楷体_GB2312" w:cs="楷体_GB2312"/>
          <w:i w:val="0"/>
          <w:iCs w:val="0"/>
          <w:caps w:val="0"/>
          <w:color w:val="000000"/>
          <w:spacing w:val="0"/>
          <w:sz w:val="32"/>
          <w:szCs w:val="32"/>
        </w:rPr>
        <w:t>主动公开方面</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left="0" w:firstLine="630"/>
        <w:jc w:val="left"/>
        <w:textAlignment w:val="auto"/>
        <w:rPr>
          <w:rFonts w:hint="default" w:ascii="仿宋_GB2312" w:hAnsi="sans-serif" w:eastAsia="仿宋_GB2312" w:cs="仿宋_GB2312"/>
          <w:i w:val="0"/>
          <w:iCs w:val="0"/>
          <w:caps w:val="0"/>
          <w:color w:val="070707"/>
          <w:spacing w:val="0"/>
          <w:sz w:val="32"/>
          <w:szCs w:val="32"/>
          <w:shd w:val="clear" w:fill="FFFFFF"/>
        </w:rPr>
      </w:pPr>
      <w:r>
        <w:rPr>
          <w:rFonts w:hint="eastAsia" w:ascii="仿宋_GB2312" w:hAnsi="sans-serif" w:eastAsia="仿宋_GB2312" w:cs="仿宋_GB2312"/>
          <w:i w:val="0"/>
          <w:iCs w:val="0"/>
          <w:caps w:val="0"/>
          <w:color w:val="070707"/>
          <w:spacing w:val="0"/>
          <w:sz w:val="32"/>
          <w:szCs w:val="32"/>
          <w:shd w:val="clear" w:fill="FFFFFF"/>
        </w:rPr>
        <w:t>我局加强政策落实，深化公开信息内容。结合工作实际，继续深化主动公开信息内容，重点做好决策公开、管理公开、服务公开、执行公开、结果公开以及栏目专题公开等信息的内容保障。持续推进政策落实情况，强化权力监督，深入推进决策和执行公开，提高政策制定和实施的公开透明度，以公开促进依法行政和政策落地见效，增强落实执行力，实事求是公布进展和完成情况。</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left="0" w:firstLine="630"/>
        <w:textAlignment w:val="auto"/>
        <w:rPr>
          <w:rStyle w:val="5"/>
          <w:rFonts w:hint="default" w:ascii="楷体_GB2312" w:hAnsi="sans-serif" w:eastAsia="楷体_GB2312" w:cs="楷体_GB2312"/>
          <w:i w:val="0"/>
          <w:iCs w:val="0"/>
          <w:caps w:val="0"/>
          <w:color w:val="000000"/>
          <w:spacing w:val="0"/>
          <w:sz w:val="32"/>
          <w:szCs w:val="32"/>
        </w:rPr>
      </w:pPr>
      <w:r>
        <w:rPr>
          <w:rStyle w:val="5"/>
          <w:rFonts w:hint="eastAsia" w:ascii="楷体_GB2312" w:hAnsi="sans-serif" w:eastAsia="楷体_GB2312" w:cs="楷体_GB2312"/>
          <w:i w:val="0"/>
          <w:iCs w:val="0"/>
          <w:caps w:val="0"/>
          <w:color w:val="000000"/>
          <w:spacing w:val="0"/>
          <w:sz w:val="32"/>
          <w:szCs w:val="32"/>
        </w:rPr>
        <w:t>（二）依申请公开方面</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left="0" w:firstLine="630"/>
        <w:jc w:val="left"/>
        <w:textAlignment w:val="auto"/>
        <w:rPr>
          <w:rFonts w:hint="default" w:ascii="仿宋_GB2312" w:hAnsi="sans-serif" w:eastAsia="仿宋_GB2312" w:cs="仿宋_GB2312"/>
          <w:i w:val="0"/>
          <w:iCs w:val="0"/>
          <w:caps w:val="0"/>
          <w:color w:val="070707"/>
          <w:spacing w:val="0"/>
          <w:sz w:val="32"/>
          <w:szCs w:val="32"/>
          <w:shd w:val="clear" w:fill="FFFFFF"/>
        </w:rPr>
      </w:pPr>
      <w:r>
        <w:rPr>
          <w:rFonts w:hint="eastAsia" w:ascii="仿宋_GB2312" w:hAnsi="sans-serif" w:eastAsia="仿宋_GB2312" w:cs="仿宋_GB2312"/>
          <w:i w:val="0"/>
          <w:iCs w:val="0"/>
          <w:caps w:val="0"/>
          <w:color w:val="070707"/>
          <w:spacing w:val="0"/>
          <w:sz w:val="32"/>
          <w:szCs w:val="32"/>
          <w:shd w:val="clear" w:fill="FFFFFF"/>
          <w:lang w:eastAsia="zh-CN"/>
        </w:rPr>
        <w:t>2023</w:t>
      </w:r>
      <w:r>
        <w:rPr>
          <w:rFonts w:hint="eastAsia" w:ascii="仿宋_GB2312" w:hAnsi="sans-serif" w:eastAsia="仿宋_GB2312" w:cs="仿宋_GB2312"/>
          <w:i w:val="0"/>
          <w:iCs w:val="0"/>
          <w:caps w:val="0"/>
          <w:color w:val="070707"/>
          <w:spacing w:val="0"/>
          <w:sz w:val="32"/>
          <w:szCs w:val="32"/>
          <w:shd w:val="clear" w:fill="FFFFFF"/>
        </w:rPr>
        <w:t>年1月1日至</w:t>
      </w:r>
      <w:r>
        <w:rPr>
          <w:rFonts w:hint="eastAsia" w:ascii="仿宋_GB2312" w:hAnsi="sans-serif" w:eastAsia="仿宋_GB2312" w:cs="仿宋_GB2312"/>
          <w:i w:val="0"/>
          <w:iCs w:val="0"/>
          <w:caps w:val="0"/>
          <w:color w:val="070707"/>
          <w:spacing w:val="0"/>
          <w:sz w:val="32"/>
          <w:szCs w:val="32"/>
          <w:shd w:val="clear" w:fill="FFFFFF"/>
          <w:lang w:eastAsia="zh-CN"/>
        </w:rPr>
        <w:t>2023</w:t>
      </w:r>
      <w:r>
        <w:rPr>
          <w:rFonts w:hint="eastAsia" w:ascii="仿宋_GB2312" w:hAnsi="sans-serif" w:eastAsia="仿宋_GB2312" w:cs="仿宋_GB2312"/>
          <w:i w:val="0"/>
          <w:iCs w:val="0"/>
          <w:caps w:val="0"/>
          <w:color w:val="070707"/>
          <w:spacing w:val="0"/>
          <w:sz w:val="32"/>
          <w:szCs w:val="32"/>
          <w:shd w:val="clear" w:fill="FFFFFF"/>
        </w:rPr>
        <w:t>年12月31日，我局</w:t>
      </w:r>
      <w:r>
        <w:rPr>
          <w:rFonts w:hint="eastAsia" w:ascii="仿宋_GB2312" w:hAnsi="sans-serif" w:eastAsia="仿宋_GB2312" w:cs="仿宋_GB2312"/>
          <w:i w:val="0"/>
          <w:iCs w:val="0"/>
          <w:caps w:val="0"/>
          <w:color w:val="070707"/>
          <w:spacing w:val="0"/>
          <w:sz w:val="32"/>
          <w:szCs w:val="32"/>
          <w:shd w:val="clear" w:fill="FFFFFF"/>
          <w:lang w:eastAsia="zh-CN"/>
        </w:rPr>
        <w:t>未</w:t>
      </w:r>
      <w:r>
        <w:rPr>
          <w:rFonts w:hint="eastAsia" w:ascii="仿宋_GB2312" w:hAnsi="sans-serif" w:eastAsia="仿宋_GB2312" w:cs="仿宋_GB2312"/>
          <w:i w:val="0"/>
          <w:iCs w:val="0"/>
          <w:caps w:val="0"/>
          <w:color w:val="070707"/>
          <w:spacing w:val="0"/>
          <w:sz w:val="32"/>
          <w:szCs w:val="32"/>
          <w:shd w:val="clear" w:fill="FFFFFF"/>
        </w:rPr>
        <w:t>共收到政府信息公开申请</w:t>
      </w:r>
      <w:r>
        <w:rPr>
          <w:rFonts w:hint="eastAsia" w:ascii="仿宋_GB2312" w:hAnsi="sans-serif" w:eastAsia="仿宋_GB2312" w:cs="仿宋_GB2312"/>
          <w:i w:val="0"/>
          <w:iCs w:val="0"/>
          <w:caps w:val="0"/>
          <w:color w:val="070707"/>
          <w:spacing w:val="0"/>
          <w:sz w:val="32"/>
          <w:szCs w:val="32"/>
          <w:shd w:val="clear" w:fill="FFFFFF"/>
          <w:lang w:eastAsia="zh-CN"/>
        </w:rPr>
        <w:t>事项</w:t>
      </w:r>
      <w:r>
        <w:rPr>
          <w:rFonts w:hint="eastAsia" w:ascii="仿宋_GB2312" w:hAnsi="sans-serif" w:eastAsia="仿宋_GB2312" w:cs="仿宋_GB2312"/>
          <w:i w:val="0"/>
          <w:iCs w:val="0"/>
          <w:caps w:val="0"/>
          <w:color w:val="070707"/>
          <w:spacing w:val="0"/>
          <w:sz w:val="32"/>
          <w:szCs w:val="32"/>
          <w:shd w:val="clear" w:fill="FFFFFF"/>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left="0" w:firstLine="630"/>
        <w:textAlignment w:val="auto"/>
        <w:rPr>
          <w:rStyle w:val="5"/>
          <w:rFonts w:hint="default" w:ascii="楷体_GB2312" w:hAnsi="sans-serif" w:eastAsia="楷体_GB2312" w:cs="楷体_GB2312"/>
          <w:i w:val="0"/>
          <w:iCs w:val="0"/>
          <w:caps w:val="0"/>
          <w:color w:val="000000"/>
          <w:spacing w:val="0"/>
          <w:sz w:val="32"/>
          <w:szCs w:val="32"/>
        </w:rPr>
      </w:pPr>
      <w:r>
        <w:rPr>
          <w:rStyle w:val="5"/>
          <w:rFonts w:hint="eastAsia" w:ascii="楷体_GB2312" w:hAnsi="sans-serif" w:eastAsia="楷体_GB2312" w:cs="楷体_GB2312"/>
          <w:i w:val="0"/>
          <w:iCs w:val="0"/>
          <w:caps w:val="0"/>
          <w:color w:val="000000"/>
          <w:spacing w:val="0"/>
          <w:sz w:val="32"/>
          <w:szCs w:val="32"/>
        </w:rPr>
        <w:t>（三）政府信息管理方面</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left="0" w:firstLine="630"/>
        <w:jc w:val="left"/>
        <w:textAlignment w:val="auto"/>
        <w:rPr>
          <w:rFonts w:hint="default" w:ascii="仿宋_GB2312" w:hAnsi="sans-serif" w:eastAsia="仿宋_GB2312" w:cs="仿宋_GB2312"/>
          <w:i w:val="0"/>
          <w:iCs w:val="0"/>
          <w:caps w:val="0"/>
          <w:color w:val="070707"/>
          <w:spacing w:val="0"/>
          <w:sz w:val="32"/>
          <w:szCs w:val="32"/>
          <w:shd w:val="clear" w:fill="FFFFFF"/>
          <w:lang w:eastAsia="zh-CN"/>
        </w:rPr>
      </w:pPr>
      <w:r>
        <w:rPr>
          <w:rFonts w:hint="eastAsia" w:ascii="仿宋_GB2312" w:hAnsi="sans-serif" w:eastAsia="仿宋_GB2312" w:cs="仿宋_GB2312"/>
          <w:i w:val="0"/>
          <w:iCs w:val="0"/>
          <w:caps w:val="0"/>
          <w:color w:val="070707"/>
          <w:spacing w:val="0"/>
          <w:sz w:val="32"/>
          <w:szCs w:val="32"/>
          <w:shd w:val="clear" w:fill="FFFFFF"/>
          <w:lang w:eastAsia="zh-CN"/>
        </w:rPr>
        <w:t>我局成立了政府信息公开工作领导小组，对政府信息公开工作落实了专人负责，并进一步完善了相关制度，确保我局政务信息公开工作发布及时。</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left="0" w:firstLine="630"/>
        <w:textAlignment w:val="auto"/>
        <w:rPr>
          <w:rStyle w:val="5"/>
          <w:rFonts w:hint="default" w:ascii="楷体_GB2312" w:hAnsi="sans-serif" w:eastAsia="楷体_GB2312" w:cs="楷体_GB2312"/>
          <w:i w:val="0"/>
          <w:iCs w:val="0"/>
          <w:caps w:val="0"/>
          <w:color w:val="000000"/>
          <w:spacing w:val="0"/>
          <w:sz w:val="32"/>
          <w:szCs w:val="32"/>
        </w:rPr>
      </w:pPr>
      <w:r>
        <w:rPr>
          <w:rStyle w:val="5"/>
          <w:rFonts w:hint="eastAsia" w:ascii="楷体_GB2312" w:hAnsi="sans-serif" w:eastAsia="楷体_GB2312" w:cs="楷体_GB2312"/>
          <w:i w:val="0"/>
          <w:iCs w:val="0"/>
          <w:caps w:val="0"/>
          <w:color w:val="000000"/>
          <w:spacing w:val="0"/>
          <w:sz w:val="32"/>
          <w:szCs w:val="32"/>
        </w:rPr>
        <w:t>（四）监督保障方面</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left="0" w:firstLine="630"/>
        <w:jc w:val="left"/>
        <w:textAlignment w:val="auto"/>
        <w:rPr>
          <w:rFonts w:hint="default" w:ascii="仿宋_GB2312" w:hAnsi="sans-serif" w:eastAsia="仿宋_GB2312" w:cs="仿宋_GB2312"/>
          <w:i w:val="0"/>
          <w:iCs w:val="0"/>
          <w:caps w:val="0"/>
          <w:color w:val="070707"/>
          <w:spacing w:val="0"/>
          <w:sz w:val="32"/>
          <w:szCs w:val="32"/>
          <w:shd w:val="clear" w:fill="FFFFFF"/>
          <w:lang w:eastAsia="zh-CN"/>
        </w:rPr>
      </w:pPr>
      <w:r>
        <w:rPr>
          <w:rFonts w:hint="eastAsia" w:ascii="仿宋_GB2312" w:hAnsi="sans-serif" w:eastAsia="仿宋_GB2312" w:cs="仿宋_GB2312"/>
          <w:i w:val="0"/>
          <w:iCs w:val="0"/>
          <w:caps w:val="0"/>
          <w:color w:val="070707"/>
          <w:spacing w:val="0"/>
          <w:sz w:val="32"/>
          <w:szCs w:val="32"/>
          <w:shd w:val="clear" w:fill="FFFFFF"/>
          <w:lang w:eastAsia="zh-CN"/>
        </w:rPr>
        <w:t>我局成立了政务公开工作领导小组，健全了政府信息公开工作制度，并积极配合市政府办和市大数据局对我局政府信息公开实施情况的监督检查，做好我局政府信息公开工作。</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Autospacing="0" w:line="586" w:lineRule="exact"/>
        <w:ind w:left="0" w:firstLine="630"/>
        <w:textAlignment w:val="auto"/>
        <w:rPr>
          <w:rFonts w:hint="default"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二、主动公开政府信息情况</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2343"/>
        <w:gridCol w:w="2344"/>
        <w:gridCol w:w="1812"/>
        <w:gridCol w:w="192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8730"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第二十条第（一）项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信息内容</w:t>
            </w:r>
          </w:p>
        </w:tc>
        <w:tc>
          <w:tcPr>
            <w:tcW w:w="2430" w:type="dxa"/>
            <w:tcBorders>
              <w:top w:val="single" w:color="auto" w:sz="6"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本年制发件数</w:t>
            </w:r>
          </w:p>
        </w:tc>
        <w:tc>
          <w:tcPr>
            <w:tcW w:w="1875" w:type="dxa"/>
            <w:tcBorders>
              <w:top w:val="single" w:color="auto" w:sz="6"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本年废止件数</w:t>
            </w:r>
          </w:p>
        </w:tc>
        <w:tc>
          <w:tcPr>
            <w:tcW w:w="1980" w:type="dxa"/>
            <w:tcBorders>
              <w:top w:val="single" w:color="auto" w:sz="6"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现行有效件数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规章</w:t>
            </w:r>
          </w:p>
        </w:tc>
        <w:tc>
          <w:tcPr>
            <w:tcW w:w="243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sans-serif" w:hAnsi="sans-serif" w:eastAsia="sans-serif" w:cs="sans-serif"/>
                <w:i w:val="0"/>
                <w:iCs w:val="0"/>
                <w:caps w:val="0"/>
                <w:color w:val="000000"/>
                <w:spacing w:val="0"/>
                <w:sz w:val="27"/>
                <w:szCs w:val="27"/>
              </w:rPr>
              <w:t>　　</w:t>
            </w:r>
            <w:r>
              <w:rPr>
                <w:rFonts w:ascii="Calibri" w:hAnsi="Calibri" w:eastAsia="宋体" w:cs="Calibri"/>
                <w:i w:val="0"/>
                <w:iCs w:val="0"/>
                <w:caps w:val="0"/>
                <w:color w:val="000000"/>
                <w:spacing w:val="0"/>
                <w:sz w:val="21"/>
                <w:szCs w:val="21"/>
              </w:rPr>
              <w:t>0</w:t>
            </w:r>
          </w:p>
        </w:tc>
        <w:tc>
          <w:tcPr>
            <w:tcW w:w="187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 </w:t>
            </w:r>
            <w:r>
              <w:rPr>
                <w:rFonts w:hint="eastAsia" w:ascii="宋体" w:hAnsi="宋体" w:eastAsia="宋体" w:cs="宋体"/>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c>
          <w:tcPr>
            <w:tcW w:w="198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行政规范性文件</w:t>
            </w:r>
          </w:p>
        </w:tc>
        <w:tc>
          <w:tcPr>
            <w:tcW w:w="243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sans-serif" w:hAnsi="sans-serif" w:eastAsia="sans-serif" w:cs="sans-serif"/>
                <w:i w:val="0"/>
                <w:iCs w:val="0"/>
                <w:caps w:val="0"/>
                <w:color w:val="000000"/>
                <w:spacing w:val="0"/>
                <w:sz w:val="27"/>
                <w:szCs w:val="27"/>
              </w:rPr>
              <w:t>　　</w:t>
            </w:r>
            <w:r>
              <w:rPr>
                <w:rFonts w:hint="default" w:ascii="Calibri" w:hAnsi="Calibri" w:eastAsia="宋体" w:cs="Calibri"/>
                <w:i w:val="0"/>
                <w:iCs w:val="0"/>
                <w:caps w:val="0"/>
                <w:color w:val="000000"/>
                <w:spacing w:val="0"/>
                <w:sz w:val="21"/>
                <w:szCs w:val="21"/>
              </w:rPr>
              <w:t>0</w:t>
            </w:r>
          </w:p>
        </w:tc>
        <w:tc>
          <w:tcPr>
            <w:tcW w:w="187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 </w:t>
            </w:r>
            <w:r>
              <w:rPr>
                <w:rFonts w:hint="eastAsia" w:ascii="宋体" w:hAnsi="宋体" w:eastAsia="宋体" w:cs="宋体"/>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c>
          <w:tcPr>
            <w:tcW w:w="198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8730"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第二十条第（五）项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信息内容</w:t>
            </w:r>
          </w:p>
        </w:tc>
        <w:tc>
          <w:tcPr>
            <w:tcW w:w="6300" w:type="dxa"/>
            <w:gridSpan w:val="3"/>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2430" w:type="dxa"/>
            <w:tcBorders>
              <w:top w:val="nil"/>
              <w:left w:val="single" w:color="auto" w:sz="6" w:space="0"/>
              <w:bottom w:val="single" w:color="auto" w:sz="4"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行政许可</w:t>
            </w:r>
          </w:p>
        </w:tc>
        <w:tc>
          <w:tcPr>
            <w:tcW w:w="6300" w:type="dxa"/>
            <w:gridSpan w:val="3"/>
            <w:tcBorders>
              <w:top w:val="nil"/>
              <w:left w:val="nil"/>
              <w:bottom w:val="single" w:color="auto" w:sz="4"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8730" w:type="dxa"/>
            <w:gridSpan w:val="4"/>
            <w:tcBorders>
              <w:top w:val="single" w:color="auto" w:sz="4" w:space="0"/>
              <w:left w:val="single" w:color="auto" w:sz="4" w:space="0"/>
              <w:bottom w:val="single" w:color="auto" w:sz="4" w:space="0"/>
              <w:right w:val="single" w:color="auto" w:sz="4" w:space="0"/>
            </w:tcBorders>
            <w:shd w:val="clear" w:color="auto" w:fill="C6D9F1"/>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第二十条第（六）项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信息内容</w:t>
            </w:r>
          </w:p>
        </w:tc>
        <w:tc>
          <w:tcPr>
            <w:tcW w:w="630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行政处罚</w:t>
            </w:r>
          </w:p>
        </w:tc>
        <w:tc>
          <w:tcPr>
            <w:tcW w:w="630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sans-serif" w:hAnsi="sans-serif" w:eastAsia="sans-serif" w:cs="sans-serif"/>
                <w:i w:val="0"/>
                <w:iCs w:val="0"/>
                <w:caps w:val="0"/>
                <w:color w:val="000000"/>
                <w:spacing w:val="0"/>
                <w:sz w:val="27"/>
                <w:szCs w:val="27"/>
              </w:rPr>
              <w:t>　</w:t>
            </w: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行政强制</w:t>
            </w:r>
          </w:p>
        </w:tc>
        <w:tc>
          <w:tcPr>
            <w:tcW w:w="630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sans-serif" w:hAnsi="sans-serif" w:eastAsia="sans-serif" w:cs="sans-serif"/>
                <w:i w:val="0"/>
                <w:iCs w:val="0"/>
                <w:caps w:val="0"/>
                <w:color w:val="000000"/>
                <w:spacing w:val="0"/>
                <w:sz w:val="27"/>
                <w:szCs w:val="27"/>
              </w:rPr>
              <w:t>　</w:t>
            </w: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8730" w:type="dxa"/>
            <w:gridSpan w:val="4"/>
            <w:tcBorders>
              <w:top w:val="single" w:color="auto" w:sz="4" w:space="0"/>
              <w:left w:val="single" w:color="auto" w:sz="4" w:space="0"/>
              <w:bottom w:val="single" w:color="auto" w:sz="4" w:space="0"/>
              <w:right w:val="single" w:color="auto" w:sz="4" w:space="0"/>
            </w:tcBorders>
            <w:shd w:val="clear" w:color="auto" w:fill="C6D9F1"/>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第二十条第（八）项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345" w:hRule="atLeast"/>
          <w:jc w:val="center"/>
        </w:trPr>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信息内容</w:t>
            </w:r>
          </w:p>
        </w:tc>
        <w:tc>
          <w:tcPr>
            <w:tcW w:w="630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本年收费金额（单位：万元）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jc w:val="center"/>
        </w:trPr>
        <w:tc>
          <w:tcPr>
            <w:tcW w:w="243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行政事业性收费</w:t>
            </w:r>
          </w:p>
        </w:tc>
        <w:tc>
          <w:tcPr>
            <w:tcW w:w="6300"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0</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left="0" w:firstLine="630"/>
        <w:textAlignment w:val="auto"/>
        <w:rPr>
          <w:rFonts w:hint="default" w:ascii="sans-serif" w:hAnsi="sans-serif" w:eastAsia="sans-serif" w:cs="sans-serif"/>
          <w:i w:val="0"/>
          <w:iCs w:val="0"/>
          <w:caps w:val="0"/>
          <w:color w:val="000000"/>
          <w:spacing w:val="0"/>
          <w:sz w:val="32"/>
          <w:szCs w:val="32"/>
        </w:rPr>
      </w:pPr>
      <w:r>
        <w:rPr>
          <w:rFonts w:hint="eastAsia" w:ascii="黑体" w:hAnsi="宋体" w:eastAsia="黑体" w:cs="黑体"/>
          <w:i w:val="0"/>
          <w:iCs w:val="0"/>
          <w:caps w:val="0"/>
          <w:color w:val="000000"/>
          <w:spacing w:val="0"/>
          <w:sz w:val="32"/>
          <w:szCs w:val="32"/>
        </w:rPr>
        <w:t>三、收到和处理政府信息公开申请情况</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717"/>
        <w:gridCol w:w="904"/>
        <w:gridCol w:w="2664"/>
        <w:gridCol w:w="615"/>
        <w:gridCol w:w="615"/>
        <w:gridCol w:w="615"/>
        <w:gridCol w:w="615"/>
        <w:gridCol w:w="615"/>
        <w:gridCol w:w="591"/>
        <w:gridCol w:w="52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4285" w:type="dxa"/>
            <w:gridSpan w:val="3"/>
            <w:vMerge w:val="restart"/>
            <w:tcBorders>
              <w:top w:val="single" w:color="auto" w:sz="6" w:space="0"/>
              <w:left w:val="single" w:color="auto" w:sz="6" w:space="0"/>
              <w:bottom w:val="outset"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sans-serif" w:cs="Calibri"/>
                <w:i w:val="0"/>
                <w:iCs w:val="0"/>
                <w:caps w:val="0"/>
                <w:color w:val="000000"/>
                <w:spacing w:val="0"/>
                <w:sz w:val="21"/>
                <w:szCs w:val="21"/>
              </w:rPr>
              <w:t>（本列数据的勾稽关系为：第一项加第二项之和，等于第三项加第四项之和）</w:t>
            </w:r>
          </w:p>
        </w:tc>
        <w:tc>
          <w:tcPr>
            <w:tcW w:w="4186"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申请人情况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4285" w:type="dxa"/>
            <w:gridSpan w:val="3"/>
            <w:vMerge w:val="continue"/>
            <w:tcBorders>
              <w:top w:val="single" w:color="auto" w:sz="6" w:space="0"/>
              <w:left w:val="single" w:color="auto" w:sz="6" w:space="0"/>
              <w:bottom w:val="outset"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61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自然人</w:t>
            </w:r>
          </w:p>
        </w:tc>
        <w:tc>
          <w:tcPr>
            <w:tcW w:w="3051"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法人或其他组织</w:t>
            </w:r>
          </w:p>
        </w:tc>
        <w:tc>
          <w:tcPr>
            <w:tcW w:w="520" w:type="dxa"/>
            <w:vMerge w:val="restart"/>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840" w:hRule="atLeast"/>
          <w:jc w:val="center"/>
        </w:trPr>
        <w:tc>
          <w:tcPr>
            <w:tcW w:w="4285" w:type="dxa"/>
            <w:gridSpan w:val="3"/>
            <w:vMerge w:val="continue"/>
            <w:tcBorders>
              <w:top w:val="single" w:color="auto" w:sz="6" w:space="0"/>
              <w:left w:val="single" w:color="auto" w:sz="6" w:space="0"/>
              <w:bottom w:val="outset"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61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6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商业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企业</w:t>
            </w:r>
          </w:p>
        </w:tc>
        <w:tc>
          <w:tcPr>
            <w:tcW w:w="6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科研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机构</w:t>
            </w:r>
          </w:p>
        </w:tc>
        <w:tc>
          <w:tcPr>
            <w:tcW w:w="6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社会公益组织</w:t>
            </w:r>
          </w:p>
        </w:tc>
        <w:tc>
          <w:tcPr>
            <w:tcW w:w="6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法律服务机构</w:t>
            </w:r>
          </w:p>
        </w:tc>
        <w:tc>
          <w:tcPr>
            <w:tcW w:w="591"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其他</w:t>
            </w:r>
          </w:p>
        </w:tc>
        <w:tc>
          <w:tcPr>
            <w:tcW w:w="520"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4285" w:type="dxa"/>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一、本年新收政府信息公开申请数量</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rPr>
                <w:rFonts w:hint="eastAsia" w:eastAsiaTheme="minorEastAsia"/>
                <w:lang w:val="en-US" w:eastAsia="zh-CN"/>
              </w:rPr>
            </w:pPr>
            <w:r>
              <w:rPr>
                <w:rFonts w:hint="eastAsia"/>
                <w:lang w:val="en-US" w:eastAsia="zh-CN"/>
              </w:rPr>
              <w:t>0</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rPr>
                <w:rFonts w:hint="eastAsia" w:eastAsiaTheme="minorEastAsia"/>
                <w:lang w:val="en-US" w:eastAsia="zh-CN"/>
              </w:rPr>
            </w:pPr>
            <w:r>
              <w:rPr>
                <w:rFonts w:hint="eastAsia"/>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4285" w:type="dxa"/>
            <w:gridSpan w:val="3"/>
            <w:tcBorders>
              <w:top w:val="nil"/>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二、上年结转政府信息公开申请数量</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nil"/>
              <w:left w:val="nil"/>
              <w:bottom w:val="single" w:color="auto" w:sz="4"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nil"/>
              <w:left w:val="nil"/>
              <w:bottom w:val="single" w:color="auto" w:sz="4"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nil"/>
              <w:left w:val="nil"/>
              <w:bottom w:val="single" w:color="auto" w:sz="4"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nil"/>
              <w:left w:val="nil"/>
              <w:bottom w:val="single" w:color="auto" w:sz="4"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restart"/>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三、本年度办理结果</w:t>
            </w:r>
          </w:p>
        </w:tc>
        <w:tc>
          <w:tcPr>
            <w:tcW w:w="3568"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（一）予以公开</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nil"/>
              <w:left w:val="nil"/>
              <w:bottom w:val="single" w:color="auto" w:sz="6" w:space="0"/>
              <w:right w:val="double" w:color="auto" w:sz="2"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3568"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（二）部分公开（区分处理的，只计这一情形，不计其他情形）</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nil"/>
              <w:left w:val="nil"/>
              <w:bottom w:val="single" w:color="auto" w:sz="6" w:space="0"/>
              <w:right w:val="double" w:color="auto" w:sz="2"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restart"/>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不予公开</w:t>
            </w:r>
          </w:p>
        </w:tc>
        <w:tc>
          <w:tcPr>
            <w:tcW w:w="266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1.</w:t>
            </w:r>
            <w:r>
              <w:rPr>
                <w:rFonts w:hint="eastAsia" w:ascii="宋体" w:hAnsi="宋体" w:eastAsia="宋体" w:cs="宋体"/>
                <w:i w:val="0"/>
                <w:iCs w:val="0"/>
                <w:caps w:val="0"/>
                <w:color w:val="000000"/>
                <w:spacing w:val="0"/>
                <w:sz w:val="21"/>
                <w:szCs w:val="21"/>
              </w:rPr>
              <w:t>属于国家秘密</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266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2.</w:t>
            </w:r>
            <w:r>
              <w:rPr>
                <w:rFonts w:hint="eastAsia" w:ascii="宋体" w:hAnsi="宋体" w:eastAsia="宋体" w:cs="宋体"/>
                <w:i w:val="0"/>
                <w:iCs w:val="0"/>
                <w:caps w:val="0"/>
                <w:color w:val="000000"/>
                <w:spacing w:val="0"/>
                <w:sz w:val="21"/>
                <w:szCs w:val="21"/>
              </w:rPr>
              <w:t>其他法律行政法规禁止公开</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266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3.</w:t>
            </w:r>
            <w:r>
              <w:rPr>
                <w:rFonts w:hint="eastAsia" w:ascii="宋体" w:hAnsi="宋体" w:eastAsia="宋体" w:cs="宋体"/>
                <w:i w:val="0"/>
                <w:iCs w:val="0"/>
                <w:caps w:val="0"/>
                <w:color w:val="000000"/>
                <w:spacing w:val="0"/>
                <w:sz w:val="21"/>
                <w:szCs w:val="21"/>
              </w:rPr>
              <w:t>危及“三安全一稳定”</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2664" w:type="dxa"/>
            <w:tcBorders>
              <w:top w:val="single" w:color="auto" w:sz="6" w:space="0"/>
              <w:left w:val="single" w:color="auto" w:sz="6" w:space="0"/>
              <w:bottom w:val="single" w:color="auto" w:sz="4"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4.</w:t>
            </w:r>
            <w:r>
              <w:rPr>
                <w:rFonts w:hint="eastAsia" w:ascii="宋体" w:hAnsi="宋体" w:eastAsia="宋体" w:cs="宋体"/>
                <w:i w:val="0"/>
                <w:iCs w:val="0"/>
                <w:caps w:val="0"/>
                <w:color w:val="000000"/>
                <w:spacing w:val="0"/>
                <w:sz w:val="21"/>
                <w:szCs w:val="21"/>
              </w:rPr>
              <w:t>保护第三方合法权益</w:t>
            </w:r>
          </w:p>
        </w:tc>
        <w:tc>
          <w:tcPr>
            <w:tcW w:w="615" w:type="dxa"/>
            <w:tcBorders>
              <w:top w:val="nil"/>
              <w:left w:val="nil"/>
              <w:bottom w:val="single" w:color="auto" w:sz="4"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2664" w:type="dxa"/>
            <w:tcBorders>
              <w:top w:val="single" w:color="auto" w:sz="4"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5.</w:t>
            </w:r>
            <w:r>
              <w:rPr>
                <w:rFonts w:hint="eastAsia" w:ascii="宋体" w:hAnsi="宋体" w:eastAsia="宋体" w:cs="宋体"/>
                <w:i w:val="0"/>
                <w:iCs w:val="0"/>
                <w:caps w:val="0"/>
                <w:color w:val="000000"/>
                <w:spacing w:val="0"/>
                <w:sz w:val="21"/>
                <w:szCs w:val="21"/>
              </w:rPr>
              <w:t>属于三类内部事务信息</w:t>
            </w:r>
          </w:p>
        </w:tc>
        <w:tc>
          <w:tcPr>
            <w:tcW w:w="615" w:type="dxa"/>
            <w:tcBorders>
              <w:top w:val="single" w:color="auto" w:sz="4"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266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6.</w:t>
            </w:r>
            <w:r>
              <w:rPr>
                <w:rFonts w:hint="eastAsia" w:ascii="宋体" w:hAnsi="宋体" w:eastAsia="宋体" w:cs="宋体"/>
                <w:i w:val="0"/>
                <w:iCs w:val="0"/>
                <w:caps w:val="0"/>
                <w:color w:val="000000"/>
                <w:spacing w:val="0"/>
                <w:sz w:val="21"/>
                <w:szCs w:val="21"/>
              </w:rPr>
              <w:t>属于四类过程性信息</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266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7.</w:t>
            </w:r>
            <w:r>
              <w:rPr>
                <w:rFonts w:hint="eastAsia" w:ascii="宋体" w:hAnsi="宋体" w:eastAsia="宋体" w:cs="宋体"/>
                <w:i w:val="0"/>
                <w:iCs w:val="0"/>
                <w:caps w:val="0"/>
                <w:color w:val="000000"/>
                <w:spacing w:val="0"/>
                <w:sz w:val="21"/>
                <w:szCs w:val="21"/>
              </w:rPr>
              <w:t>属于行政执法案卷</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266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8.</w:t>
            </w:r>
            <w:r>
              <w:rPr>
                <w:rFonts w:hint="eastAsia" w:ascii="宋体" w:hAnsi="宋体" w:eastAsia="宋体" w:cs="宋体"/>
                <w:i w:val="0"/>
                <w:iCs w:val="0"/>
                <w:caps w:val="0"/>
                <w:color w:val="000000"/>
                <w:spacing w:val="0"/>
                <w:sz w:val="21"/>
                <w:szCs w:val="21"/>
              </w:rPr>
              <w:t>属于行政查询事项</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restart"/>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无法提供</w:t>
            </w:r>
          </w:p>
        </w:tc>
        <w:tc>
          <w:tcPr>
            <w:tcW w:w="266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1.</w:t>
            </w:r>
            <w:r>
              <w:rPr>
                <w:rFonts w:hint="eastAsia" w:ascii="宋体" w:hAnsi="宋体" w:eastAsia="宋体" w:cs="宋体"/>
                <w:i w:val="0"/>
                <w:iCs w:val="0"/>
                <w:caps w:val="0"/>
                <w:color w:val="000000"/>
                <w:spacing w:val="0"/>
                <w:sz w:val="21"/>
                <w:szCs w:val="21"/>
              </w:rPr>
              <w:t>本机关不掌握相关政府信息</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266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2.</w:t>
            </w:r>
            <w:r>
              <w:rPr>
                <w:rFonts w:hint="eastAsia" w:ascii="宋体" w:hAnsi="宋体" w:eastAsia="宋体" w:cs="宋体"/>
                <w:i w:val="0"/>
                <w:iCs w:val="0"/>
                <w:caps w:val="0"/>
                <w:color w:val="000000"/>
                <w:spacing w:val="0"/>
                <w:sz w:val="21"/>
                <w:szCs w:val="21"/>
              </w:rPr>
              <w:t>没有现成信息需要另行制作</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266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3.</w:t>
            </w:r>
            <w:r>
              <w:rPr>
                <w:rFonts w:hint="eastAsia" w:ascii="宋体" w:hAnsi="宋体" w:eastAsia="宋体" w:cs="宋体"/>
                <w:i w:val="0"/>
                <w:iCs w:val="0"/>
                <w:caps w:val="0"/>
                <w:color w:val="000000"/>
                <w:spacing w:val="0"/>
                <w:sz w:val="21"/>
                <w:szCs w:val="21"/>
              </w:rPr>
              <w:t>补正后申请内容仍不明确</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restart"/>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不予处理</w:t>
            </w:r>
          </w:p>
        </w:tc>
        <w:tc>
          <w:tcPr>
            <w:tcW w:w="266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1.</w:t>
            </w:r>
            <w:r>
              <w:rPr>
                <w:rFonts w:hint="eastAsia" w:ascii="宋体" w:hAnsi="宋体" w:eastAsia="宋体" w:cs="宋体"/>
                <w:i w:val="0"/>
                <w:iCs w:val="0"/>
                <w:caps w:val="0"/>
                <w:color w:val="000000"/>
                <w:spacing w:val="0"/>
                <w:sz w:val="21"/>
                <w:szCs w:val="21"/>
              </w:rPr>
              <w:t>信访举报投诉类申请</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266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2.</w:t>
            </w:r>
            <w:r>
              <w:rPr>
                <w:rFonts w:hint="eastAsia" w:ascii="宋体" w:hAnsi="宋体" w:eastAsia="宋体" w:cs="宋体"/>
                <w:i w:val="0"/>
                <w:iCs w:val="0"/>
                <w:caps w:val="0"/>
                <w:color w:val="000000"/>
                <w:spacing w:val="0"/>
                <w:sz w:val="21"/>
                <w:szCs w:val="21"/>
              </w:rPr>
              <w:t>重复申请</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266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3.</w:t>
            </w:r>
            <w:r>
              <w:rPr>
                <w:rFonts w:hint="eastAsia" w:ascii="宋体" w:hAnsi="宋体" w:eastAsia="宋体" w:cs="宋体"/>
                <w:i w:val="0"/>
                <w:iCs w:val="0"/>
                <w:caps w:val="0"/>
                <w:color w:val="000000"/>
                <w:spacing w:val="0"/>
                <w:sz w:val="21"/>
                <w:szCs w:val="21"/>
              </w:rPr>
              <w:t>要求提供公开出版物</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266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4.</w:t>
            </w:r>
            <w:r>
              <w:rPr>
                <w:rFonts w:hint="eastAsia" w:ascii="宋体" w:hAnsi="宋体" w:eastAsia="宋体" w:cs="宋体"/>
                <w:i w:val="0"/>
                <w:iCs w:val="0"/>
                <w:caps w:val="0"/>
                <w:color w:val="000000"/>
                <w:spacing w:val="0"/>
                <w:sz w:val="21"/>
                <w:szCs w:val="21"/>
              </w:rPr>
              <w:t>无正当理由大量反复申请</w:t>
            </w:r>
          </w:p>
        </w:tc>
        <w:tc>
          <w:tcPr>
            <w:tcW w:w="615" w:type="dxa"/>
            <w:tcBorders>
              <w:top w:val="nil"/>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780" w:hRule="atLeast"/>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2664" w:type="dxa"/>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5.</w:t>
            </w:r>
            <w:r>
              <w:rPr>
                <w:rFonts w:hint="eastAsia" w:ascii="宋体" w:hAnsi="宋体" w:eastAsia="宋体" w:cs="宋体"/>
                <w:i w:val="0"/>
                <w:iCs w:val="0"/>
                <w:caps w:val="0"/>
                <w:color w:val="000000"/>
                <w:spacing w:val="0"/>
                <w:sz w:val="21"/>
                <w:szCs w:val="21"/>
              </w:rPr>
              <w:t>要求行政机关确认或重新出具已获取信息</w:t>
            </w:r>
          </w:p>
        </w:tc>
        <w:tc>
          <w:tcPr>
            <w:tcW w:w="615" w:type="dxa"/>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outset"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restart"/>
            <w:tcBorders>
              <w:top w:val="nil"/>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其他处理</w:t>
            </w:r>
          </w:p>
        </w:tc>
        <w:tc>
          <w:tcPr>
            <w:tcW w:w="266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1.</w:t>
            </w:r>
            <w:r>
              <w:rPr>
                <w:rFonts w:hint="eastAsia" w:ascii="宋体" w:hAnsi="宋体" w:eastAsia="宋体" w:cs="宋体"/>
                <w:i w:val="0"/>
                <w:iCs w:val="0"/>
                <w:caps w:val="0"/>
                <w:color w:val="000000"/>
                <w:spacing w:val="0"/>
                <w:sz w:val="21"/>
                <w:szCs w:val="21"/>
              </w:rPr>
              <w:t>申请人无正当理由逾期不补正、行政机关不再处理其政府信息公开申请</w:t>
            </w:r>
          </w:p>
        </w:tc>
        <w:tc>
          <w:tcPr>
            <w:tcW w:w="615" w:type="dxa"/>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continue"/>
            <w:tcBorders>
              <w:top w:val="nil"/>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266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2.</w:t>
            </w:r>
            <w:r>
              <w:rPr>
                <w:rFonts w:hint="eastAsia" w:ascii="宋体" w:hAnsi="宋体" w:eastAsia="宋体" w:cs="宋体"/>
                <w:i w:val="0"/>
                <w:iCs w:val="0"/>
                <w:caps w:val="0"/>
                <w:color w:val="000000"/>
                <w:spacing w:val="0"/>
                <w:sz w:val="21"/>
                <w:szCs w:val="21"/>
              </w:rPr>
              <w:t>申请人逾期未按收费通知要求缴纳费用、行政机关不再处理其政府信息公开申请</w:t>
            </w:r>
          </w:p>
        </w:tc>
        <w:tc>
          <w:tcPr>
            <w:tcW w:w="615" w:type="dxa"/>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00" w:hRule="atLeast"/>
          <w:jc w:val="center"/>
        </w:trPr>
        <w:tc>
          <w:tcPr>
            <w:tcW w:w="717" w:type="dxa"/>
            <w:vMerge w:val="continue"/>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904" w:type="dxa"/>
            <w:vMerge w:val="continue"/>
            <w:tcBorders>
              <w:top w:val="nil"/>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2664"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宋体" w:cs="Calibri"/>
                <w:i w:val="0"/>
                <w:iCs w:val="0"/>
                <w:caps w:val="0"/>
                <w:color w:val="000000"/>
                <w:spacing w:val="0"/>
                <w:sz w:val="21"/>
                <w:szCs w:val="21"/>
              </w:rPr>
              <w:t>3.</w:t>
            </w:r>
            <w:r>
              <w:rPr>
                <w:rFonts w:hint="eastAsia" w:ascii="宋体" w:hAnsi="宋体" w:eastAsia="宋体" w:cs="宋体"/>
                <w:i w:val="0"/>
                <w:iCs w:val="0"/>
                <w:caps w:val="0"/>
                <w:color w:val="000000"/>
                <w:spacing w:val="0"/>
                <w:sz w:val="21"/>
                <w:szCs w:val="21"/>
              </w:rPr>
              <w:t>其他</w:t>
            </w:r>
          </w:p>
        </w:tc>
        <w:tc>
          <w:tcPr>
            <w:tcW w:w="615" w:type="dxa"/>
            <w:tcBorders>
              <w:top w:val="single" w:color="auto" w:sz="6" w:space="0"/>
              <w:left w:val="single" w:color="auto" w:sz="6" w:space="0"/>
              <w:bottom w:val="outset"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6"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717" w:type="dxa"/>
            <w:vMerge w:val="continue"/>
            <w:tcBorders>
              <w:top w:val="single" w:color="auto" w:sz="6" w:space="0"/>
              <w:left w:val="single" w:color="auto" w:sz="6" w:space="0"/>
              <w:bottom w:val="single" w:color="auto" w:sz="4"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3568" w:type="dxa"/>
            <w:gridSpan w:val="2"/>
            <w:tcBorders>
              <w:top w:val="single" w:color="auto" w:sz="6" w:space="0"/>
              <w:left w:val="single" w:color="auto" w:sz="6" w:space="0"/>
              <w:bottom w:val="single" w:color="auto" w:sz="4"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（七）总计</w:t>
            </w:r>
          </w:p>
        </w:tc>
        <w:tc>
          <w:tcPr>
            <w:tcW w:w="615" w:type="dxa"/>
            <w:tcBorders>
              <w:top w:val="double" w:color="auto" w:sz="2" w:space="0"/>
              <w:left w:val="double" w:color="auto" w:sz="2" w:space="0"/>
              <w:bottom w:val="single" w:color="auto" w:sz="4"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6" w:space="0"/>
              <w:left w:val="single" w:color="auto" w:sz="6"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4285" w:type="dxa"/>
            <w:gridSpan w:val="3"/>
            <w:tcBorders>
              <w:top w:val="single" w:color="auto" w:sz="4"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eastAsia" w:ascii="宋体" w:hAnsi="宋体" w:eastAsia="宋体" w:cs="宋体"/>
                <w:i w:val="0"/>
                <w:iCs w:val="0"/>
                <w:caps w:val="0"/>
                <w:color w:val="000000"/>
                <w:spacing w:val="0"/>
                <w:sz w:val="21"/>
                <w:szCs w:val="21"/>
              </w:rPr>
              <w:t>四、结转下年度继续办理</w:t>
            </w:r>
          </w:p>
        </w:tc>
        <w:tc>
          <w:tcPr>
            <w:tcW w:w="615" w:type="dxa"/>
            <w:tcBorders>
              <w:top w:val="single" w:color="auto" w:sz="4"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615" w:type="dxa"/>
            <w:tcBorders>
              <w:top w:val="single" w:color="auto" w:sz="4"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91" w:type="dxa"/>
            <w:tcBorders>
              <w:top w:val="single" w:color="auto" w:sz="4"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c>
          <w:tcPr>
            <w:tcW w:w="520" w:type="dxa"/>
            <w:tcBorders>
              <w:top w:val="single" w:color="auto" w:sz="4" w:space="0"/>
              <w:left w:val="nil"/>
              <w:bottom w:val="single" w:color="auto" w:sz="6" w:space="0"/>
              <w:right w:val="single" w:color="auto" w:sz="6" w:space="0"/>
            </w:tcBorders>
            <w:shd w:val="clear" w:color="auto" w:fill="auto"/>
            <w:tcMar>
              <w:top w:w="0" w:type="dxa"/>
              <w:left w:w="60" w:type="dxa"/>
              <w:bottom w:w="0" w:type="dxa"/>
              <w:right w:w="6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jc w:val="center"/>
              <w:textAlignment w:val="auto"/>
            </w:pPr>
            <w:r>
              <w:rPr>
                <w:rFonts w:hint="default" w:ascii="Calibri" w:hAnsi="Calibri" w:eastAsia="宋体" w:cs="Calibri"/>
                <w:i w:val="0"/>
                <w:iCs w:val="0"/>
                <w:caps w:val="0"/>
                <w:color w:val="000000"/>
                <w:spacing w:val="0"/>
                <w:sz w:val="21"/>
                <w:szCs w:val="21"/>
              </w:rPr>
              <w:t>0</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left="0" w:firstLine="630"/>
        <w:textAlignment w:val="auto"/>
        <w:rPr>
          <w:rFonts w:hint="default" w:ascii="sans-serif" w:hAnsi="sans-serif" w:eastAsia="sans-serif" w:cs="sans-serif"/>
          <w:i w:val="0"/>
          <w:iCs w:val="0"/>
          <w:caps w:val="0"/>
          <w:color w:val="000000"/>
          <w:spacing w:val="0"/>
          <w:sz w:val="32"/>
          <w:szCs w:val="32"/>
        </w:rPr>
      </w:pPr>
      <w:r>
        <w:rPr>
          <w:rFonts w:hint="eastAsia" w:ascii="黑体" w:hAnsi="宋体" w:eastAsia="黑体" w:cs="黑体"/>
          <w:i w:val="0"/>
          <w:iCs w:val="0"/>
          <w:caps w:val="0"/>
          <w:color w:val="000000"/>
          <w:spacing w:val="0"/>
          <w:sz w:val="32"/>
          <w:szCs w:val="32"/>
        </w:rPr>
        <w:t>四、政府信息公开行政复议、行政诉讼情况</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564"/>
        <w:gridCol w:w="564"/>
        <w:gridCol w:w="564"/>
        <w:gridCol w:w="564"/>
        <w:gridCol w:w="573"/>
        <w:gridCol w:w="564"/>
        <w:gridCol w:w="565"/>
        <w:gridCol w:w="565"/>
        <w:gridCol w:w="565"/>
        <w:gridCol w:w="584"/>
        <w:gridCol w:w="565"/>
        <w:gridCol w:w="565"/>
        <w:gridCol w:w="565"/>
        <w:gridCol w:w="565"/>
        <w:gridCol w:w="58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324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行政复议</w:t>
            </w:r>
          </w:p>
        </w:tc>
        <w:tc>
          <w:tcPr>
            <w:tcW w:w="6510" w:type="dxa"/>
            <w:gridSpan w:val="10"/>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行政诉讼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645"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结果维持</w:t>
            </w:r>
          </w:p>
        </w:tc>
        <w:tc>
          <w:tcPr>
            <w:tcW w:w="64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纠正</w:t>
            </w:r>
          </w:p>
        </w:tc>
        <w:tc>
          <w:tcPr>
            <w:tcW w:w="645"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结果</w:t>
            </w:r>
          </w:p>
        </w:tc>
        <w:tc>
          <w:tcPr>
            <w:tcW w:w="645"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尚未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审结</w:t>
            </w:r>
          </w:p>
        </w:tc>
        <w:tc>
          <w:tcPr>
            <w:tcW w:w="645"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总计</w:t>
            </w:r>
          </w:p>
        </w:tc>
        <w:tc>
          <w:tcPr>
            <w:tcW w:w="3255"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未经复议直接起诉</w:t>
            </w:r>
          </w:p>
        </w:tc>
        <w:tc>
          <w:tcPr>
            <w:tcW w:w="3255"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复议后起诉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45"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64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645"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645"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645"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Autospacing="0" w:afterAutospacing="0" w:line="586" w:lineRule="exact"/>
              <w:textAlignment w:val="auto"/>
              <w:rPr>
                <w:rFonts w:hint="default" w:ascii="sans-serif" w:hAnsi="sans-serif" w:eastAsia="sans-serif" w:cs="sans-serif"/>
                <w:i w:val="0"/>
                <w:iCs w:val="0"/>
                <w:caps w:val="0"/>
                <w:color w:val="000000"/>
                <w:spacing w:val="0"/>
                <w:sz w:val="27"/>
                <w:szCs w:val="27"/>
              </w:rPr>
            </w:pP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维持</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纠正</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结果</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尚未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审结</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总计</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维持</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纠正</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结果</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尚未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审结</w:t>
            </w:r>
          </w:p>
        </w:tc>
        <w:tc>
          <w:tcPr>
            <w:tcW w:w="6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eastAsia" w:ascii="宋体" w:hAnsi="宋体" w:eastAsia="宋体" w:cs="宋体"/>
                <w:i w:val="0"/>
                <w:iCs w:val="0"/>
                <w:caps w:val="0"/>
                <w:color w:val="000000"/>
                <w:spacing w:val="0"/>
                <w:sz w:val="21"/>
                <w:szCs w:val="21"/>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75" w:hRule="atLeast"/>
          <w:jc w:val="center"/>
        </w:trPr>
        <w:tc>
          <w:tcPr>
            <w:tcW w:w="64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c>
          <w:tcPr>
            <w:tcW w:w="6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6" w:lineRule="exact"/>
              <w:ind w:left="0" w:right="0"/>
              <w:textAlignment w:val="auto"/>
            </w:pPr>
            <w:r>
              <w:rPr>
                <w:rFonts w:hint="default" w:ascii="Calibri" w:hAnsi="Calibri" w:eastAsia="sans-serif" w:cs="Calibri"/>
                <w:i w:val="0"/>
                <w:iCs w:val="0"/>
                <w:caps w:val="0"/>
                <w:color w:val="000000"/>
                <w:spacing w:val="0"/>
                <w:sz w:val="21"/>
                <w:szCs w:val="21"/>
              </w:rPr>
              <w:t> </w:t>
            </w:r>
            <w:r>
              <w:rPr>
                <w:rFonts w:hint="default" w:ascii="Calibri" w:hAnsi="Calibri" w:eastAsia="宋体" w:cs="Calibri"/>
                <w:i w:val="0"/>
                <w:iCs w:val="0"/>
                <w:caps w:val="0"/>
                <w:color w:val="000000"/>
                <w:spacing w:val="0"/>
                <w:sz w:val="21"/>
                <w:szCs w:val="21"/>
              </w:rPr>
              <w:t>0</w:t>
            </w:r>
          </w:p>
        </w:tc>
      </w:tr>
    </w:tbl>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left="0" w:firstLine="630"/>
        <w:textAlignment w:val="auto"/>
        <w:rPr>
          <w:rFonts w:hint="default" w:ascii="sans-serif" w:hAnsi="sans-serif" w:eastAsia="sans-serif" w:cs="sans-serif"/>
          <w:b w:val="0"/>
          <w:bCs w:val="0"/>
          <w:i w:val="0"/>
          <w:iCs w:val="0"/>
          <w:caps w:val="0"/>
          <w:color w:val="000000"/>
          <w:spacing w:val="0"/>
          <w:sz w:val="32"/>
          <w:szCs w:val="32"/>
        </w:rPr>
      </w:pPr>
      <w:r>
        <w:rPr>
          <w:rFonts w:hint="eastAsia" w:ascii="黑体" w:hAnsi="宋体" w:eastAsia="黑体" w:cs="黑体"/>
          <w:b w:val="0"/>
          <w:bCs w:val="0"/>
          <w:i w:val="0"/>
          <w:iCs w:val="0"/>
          <w:caps w:val="0"/>
          <w:color w:val="000000"/>
          <w:spacing w:val="0"/>
          <w:sz w:val="32"/>
          <w:szCs w:val="32"/>
        </w:rPr>
        <w:t>五、存在的主要问题及改进情况</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firstLine="640" w:firstLineChars="200"/>
        <w:textAlignment w:val="auto"/>
        <w:rPr>
          <w:rFonts w:hint="eastAsia" w:ascii="仿宋_GB2312" w:hAnsi="sans-serif" w:eastAsia="仿宋_GB2312" w:cs="仿宋_GB2312"/>
          <w:i w:val="0"/>
          <w:iCs w:val="0"/>
          <w:caps w:val="0"/>
          <w:color w:val="000000"/>
          <w:spacing w:val="0"/>
          <w:sz w:val="32"/>
          <w:szCs w:val="32"/>
          <w:lang w:eastAsia="zh-CN"/>
        </w:rPr>
      </w:pPr>
      <w:r>
        <w:rPr>
          <w:rFonts w:hint="eastAsia" w:ascii="仿宋_GB2312" w:hAnsi="sans-serif" w:eastAsia="仿宋_GB2312" w:cs="仿宋_GB2312"/>
          <w:i w:val="0"/>
          <w:iCs w:val="0"/>
          <w:caps w:val="0"/>
          <w:color w:val="000000"/>
          <w:spacing w:val="0"/>
          <w:sz w:val="32"/>
          <w:szCs w:val="32"/>
        </w:rPr>
        <w:t>我局政府信息公开工作虽然取得了一定成效，</w:t>
      </w:r>
      <w:r>
        <w:rPr>
          <w:rFonts w:hint="eastAsia" w:ascii="仿宋_GB2312" w:hAnsi="sans-serif" w:eastAsia="仿宋_GB2312" w:cs="仿宋_GB2312"/>
          <w:i w:val="0"/>
          <w:iCs w:val="0"/>
          <w:caps w:val="0"/>
          <w:color w:val="000000"/>
          <w:spacing w:val="0"/>
          <w:sz w:val="32"/>
          <w:szCs w:val="32"/>
          <w:lang w:eastAsia="zh-CN"/>
        </w:rPr>
        <w:t>确保了政府信息公开工作的正常有序开展，但是也存在一些不足和问题，</w:t>
      </w:r>
      <w:r>
        <w:rPr>
          <w:rStyle w:val="5"/>
          <w:rFonts w:hint="eastAsia" w:ascii="仿宋_GB2312" w:hAnsi="sans-serif" w:eastAsia="仿宋_GB2312" w:cs="仿宋_GB2312"/>
          <w:i w:val="0"/>
          <w:iCs w:val="0"/>
          <w:caps w:val="0"/>
          <w:color w:val="070707"/>
          <w:spacing w:val="0"/>
          <w:sz w:val="32"/>
          <w:szCs w:val="32"/>
          <w:shd w:val="clear" w:fill="FFFFFF"/>
          <w:lang w:eastAsia="zh-CN"/>
        </w:rPr>
        <w:t>一是</w:t>
      </w:r>
      <w:r>
        <w:rPr>
          <w:rFonts w:hint="eastAsia" w:ascii="仿宋_GB2312" w:hAnsi="sans-serif" w:eastAsia="仿宋_GB2312" w:cs="仿宋_GB2312"/>
          <w:i w:val="0"/>
          <w:iCs w:val="0"/>
          <w:caps w:val="0"/>
          <w:color w:val="000000"/>
          <w:spacing w:val="0"/>
          <w:sz w:val="32"/>
          <w:szCs w:val="32"/>
          <w:lang w:eastAsia="zh-CN"/>
        </w:rPr>
        <w:t>政策解读形式和渠道单一；</w:t>
      </w:r>
      <w:r>
        <w:rPr>
          <w:rStyle w:val="5"/>
          <w:rFonts w:hint="eastAsia" w:ascii="仿宋_GB2312" w:hAnsi="sans-serif" w:eastAsia="仿宋_GB2312" w:cs="仿宋_GB2312"/>
          <w:i w:val="0"/>
          <w:iCs w:val="0"/>
          <w:caps w:val="0"/>
          <w:color w:val="070707"/>
          <w:spacing w:val="0"/>
          <w:sz w:val="32"/>
          <w:szCs w:val="32"/>
          <w:shd w:val="clear" w:fill="FFFFFF"/>
          <w:lang w:eastAsia="zh-CN"/>
        </w:rPr>
        <w:t>二是</w:t>
      </w:r>
      <w:r>
        <w:rPr>
          <w:rFonts w:hint="eastAsia" w:ascii="仿宋_GB2312" w:hAnsi="sans-serif" w:eastAsia="仿宋_GB2312" w:cs="仿宋_GB2312"/>
          <w:i w:val="0"/>
          <w:iCs w:val="0"/>
          <w:caps w:val="0"/>
          <w:color w:val="000000"/>
          <w:spacing w:val="0"/>
          <w:sz w:val="32"/>
          <w:szCs w:val="32"/>
          <w:lang w:eastAsia="zh-CN"/>
        </w:rPr>
        <w:t>信息公开工作队伍能力建设不够，信息公开机构和人员队伍建设不能满足形势发展需要，一定程度上制约了政府信息公开工作的深入推进。</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firstLine="640" w:firstLineChars="200"/>
        <w:textAlignment w:val="auto"/>
        <w:rPr>
          <w:rFonts w:hint="default" w:ascii="仿宋_GB2312" w:hAnsi="sans-serif" w:eastAsia="仿宋_GB2312" w:cs="仿宋_GB2312"/>
          <w:i w:val="0"/>
          <w:iCs w:val="0"/>
          <w:caps w:val="0"/>
          <w:color w:val="070707"/>
          <w:spacing w:val="0"/>
          <w:sz w:val="32"/>
          <w:szCs w:val="32"/>
          <w:shd w:val="clear" w:fill="FFFFFF"/>
          <w:lang w:val="en-US" w:eastAsia="zh-CN"/>
        </w:rPr>
      </w:pPr>
      <w:r>
        <w:rPr>
          <w:rFonts w:hint="eastAsia" w:ascii="仿宋_GB2312" w:hAnsi="sans-serif" w:eastAsia="仿宋_GB2312" w:cs="仿宋_GB2312"/>
          <w:i w:val="0"/>
          <w:iCs w:val="0"/>
          <w:caps w:val="0"/>
          <w:color w:val="070707"/>
          <w:spacing w:val="0"/>
          <w:sz w:val="32"/>
          <w:szCs w:val="32"/>
          <w:shd w:val="clear" w:fill="FFFFFF"/>
        </w:rPr>
        <w:t>下一步，</w:t>
      </w:r>
      <w:r>
        <w:rPr>
          <w:rFonts w:hint="eastAsia" w:ascii="仿宋_GB2312" w:hAnsi="sans-serif" w:eastAsia="仿宋_GB2312" w:cs="仿宋_GB2312"/>
          <w:i w:val="0"/>
          <w:iCs w:val="0"/>
          <w:caps w:val="0"/>
          <w:color w:val="070707"/>
          <w:spacing w:val="0"/>
          <w:sz w:val="32"/>
          <w:szCs w:val="32"/>
          <w:shd w:val="clear" w:fill="FFFFFF"/>
          <w:lang w:eastAsia="zh-CN"/>
        </w:rPr>
        <w:t>我局将</w:t>
      </w:r>
      <w:r>
        <w:rPr>
          <w:rFonts w:hint="eastAsia" w:ascii="仿宋_GB2312" w:hAnsi="sans-serif" w:eastAsia="仿宋_GB2312" w:cs="仿宋_GB2312"/>
          <w:i w:val="0"/>
          <w:iCs w:val="0"/>
          <w:caps w:val="0"/>
          <w:color w:val="070707"/>
          <w:spacing w:val="0"/>
          <w:sz w:val="32"/>
          <w:szCs w:val="32"/>
          <w:shd w:val="clear" w:fill="FFFFFF"/>
        </w:rPr>
        <w:t>围绕市委市政府工作安排部署，</w:t>
      </w:r>
      <w:r>
        <w:rPr>
          <w:rFonts w:hint="eastAsia" w:ascii="仿宋_GB2312" w:hAnsi="sans-serif" w:eastAsia="仿宋_GB2312" w:cs="仿宋_GB2312"/>
          <w:i w:val="0"/>
          <w:iCs w:val="0"/>
          <w:caps w:val="0"/>
          <w:color w:val="070707"/>
          <w:spacing w:val="0"/>
          <w:sz w:val="32"/>
          <w:szCs w:val="32"/>
          <w:shd w:val="clear" w:fill="FFFFFF"/>
          <w:lang w:eastAsia="zh-CN"/>
        </w:rPr>
        <w:t>结合实际情况，坚持以公开为常态，不公开为例外，不断提升政务公开工作质量和水平。</w:t>
      </w:r>
      <w:r>
        <w:rPr>
          <w:rStyle w:val="5"/>
          <w:rFonts w:hint="eastAsia" w:ascii="仿宋_GB2312" w:hAnsi="sans-serif" w:eastAsia="仿宋_GB2312" w:cs="仿宋_GB2312"/>
          <w:i w:val="0"/>
          <w:iCs w:val="0"/>
          <w:caps w:val="0"/>
          <w:color w:val="070707"/>
          <w:spacing w:val="0"/>
          <w:sz w:val="32"/>
          <w:szCs w:val="32"/>
          <w:shd w:val="clear" w:fill="FFFFFF"/>
        </w:rPr>
        <w:t>一是</w:t>
      </w:r>
      <w:r>
        <w:rPr>
          <w:rFonts w:hint="eastAsia" w:ascii="仿宋_GB2312" w:hAnsi="sans-serif" w:eastAsia="仿宋_GB2312" w:cs="仿宋_GB2312"/>
          <w:i w:val="0"/>
          <w:iCs w:val="0"/>
          <w:caps w:val="0"/>
          <w:color w:val="070707"/>
          <w:spacing w:val="0"/>
          <w:sz w:val="32"/>
          <w:szCs w:val="32"/>
          <w:shd w:val="clear" w:fill="FFFFFF"/>
          <w:lang w:eastAsia="zh-CN"/>
        </w:rPr>
        <w:t>强化责任落实，及时有效地收集、报送信息，充实信息来源，丰富信息内容，确保信息公开信息量的时效性，增强信息公开效果；</w:t>
      </w:r>
      <w:r>
        <w:rPr>
          <w:rFonts w:hint="eastAsia" w:ascii="仿宋_GB2312" w:hAnsi="sans-serif" w:eastAsia="仿宋_GB2312" w:cs="仿宋_GB2312"/>
          <w:b/>
          <w:bCs/>
          <w:i w:val="0"/>
          <w:iCs w:val="0"/>
          <w:caps w:val="0"/>
          <w:color w:val="070707"/>
          <w:spacing w:val="0"/>
          <w:sz w:val="32"/>
          <w:szCs w:val="32"/>
          <w:shd w:val="clear" w:fill="FFFFFF"/>
          <w:lang w:eastAsia="zh-CN"/>
        </w:rPr>
        <w:t>二是</w:t>
      </w:r>
      <w:r>
        <w:rPr>
          <w:rFonts w:hint="eastAsia" w:ascii="仿宋_GB2312" w:hAnsi="sans-serif" w:eastAsia="仿宋_GB2312" w:cs="仿宋_GB2312"/>
          <w:i w:val="0"/>
          <w:iCs w:val="0"/>
          <w:caps w:val="0"/>
          <w:color w:val="070707"/>
          <w:spacing w:val="0"/>
          <w:sz w:val="32"/>
          <w:szCs w:val="32"/>
          <w:shd w:val="clear" w:fill="FFFFFF"/>
          <w:lang w:eastAsia="zh-CN"/>
        </w:rPr>
        <w:t>提多元化政策解读形式，确保政策有效地贯彻落实；三</w:t>
      </w:r>
      <w:r>
        <w:rPr>
          <w:rStyle w:val="5"/>
          <w:rFonts w:hint="eastAsia" w:ascii="仿宋_GB2312" w:hAnsi="sans-serif" w:eastAsia="仿宋_GB2312" w:cs="仿宋_GB2312"/>
          <w:i w:val="0"/>
          <w:iCs w:val="0"/>
          <w:caps w:val="0"/>
          <w:color w:val="070707"/>
          <w:spacing w:val="0"/>
          <w:sz w:val="32"/>
          <w:szCs w:val="32"/>
          <w:shd w:val="clear" w:fill="FFFFFF"/>
        </w:rPr>
        <w:t>是</w:t>
      </w:r>
      <w:r>
        <w:rPr>
          <w:rFonts w:hint="eastAsia" w:ascii="仿宋_GB2312" w:hAnsi="sans-serif" w:eastAsia="仿宋_GB2312" w:cs="仿宋_GB2312"/>
          <w:i w:val="0"/>
          <w:iCs w:val="0"/>
          <w:caps w:val="0"/>
          <w:color w:val="070707"/>
          <w:spacing w:val="0"/>
          <w:sz w:val="32"/>
          <w:szCs w:val="32"/>
          <w:shd w:val="clear" w:fill="FFFFFF"/>
          <w:lang w:eastAsia="zh-CN"/>
        </w:rPr>
        <w:t>将信息公开列入业务培训计划，切实提高人员队伍的综合素质和业务能力。</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left="0" w:firstLine="630"/>
        <w:jc w:val="left"/>
        <w:textAlignment w:val="auto"/>
        <w:rPr>
          <w:rFonts w:hint="eastAsia" w:ascii="黑体" w:hAnsi="宋体" w:eastAsia="黑体" w:cs="黑体"/>
          <w:b w:val="0"/>
          <w:bCs w:val="0"/>
          <w:i w:val="0"/>
          <w:iCs w:val="0"/>
          <w:caps w:val="0"/>
          <w:color w:val="000000"/>
          <w:spacing w:val="0"/>
          <w:sz w:val="32"/>
          <w:szCs w:val="32"/>
          <w:lang w:eastAsia="zh-CN"/>
        </w:rPr>
      </w:pPr>
      <w:r>
        <w:rPr>
          <w:rFonts w:hint="eastAsia" w:ascii="黑体" w:hAnsi="宋体" w:eastAsia="黑体" w:cs="黑体"/>
          <w:b w:val="0"/>
          <w:bCs w:val="0"/>
          <w:i w:val="0"/>
          <w:iCs w:val="0"/>
          <w:caps w:val="0"/>
          <w:color w:val="000000"/>
          <w:spacing w:val="0"/>
          <w:sz w:val="32"/>
          <w:szCs w:val="32"/>
        </w:rPr>
        <w:t> </w:t>
      </w:r>
      <w:r>
        <w:rPr>
          <w:rFonts w:hint="eastAsia" w:ascii="黑体" w:hAnsi="宋体" w:eastAsia="黑体" w:cs="黑体"/>
          <w:b w:val="0"/>
          <w:bCs w:val="0"/>
          <w:i w:val="0"/>
          <w:iCs w:val="0"/>
          <w:caps w:val="0"/>
          <w:color w:val="000000"/>
          <w:spacing w:val="0"/>
          <w:sz w:val="32"/>
          <w:szCs w:val="32"/>
          <w:lang w:eastAsia="zh-CN"/>
        </w:rPr>
        <w:t>六、其他需要报告的事项</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firstLine="640" w:firstLineChars="200"/>
        <w:textAlignment w:val="auto"/>
        <w:rPr>
          <w:rFonts w:hint="eastAsia" w:ascii="仿宋_GB2312" w:hAnsi="sans-serif" w:eastAsia="仿宋_GB2312" w:cs="仿宋_GB2312"/>
          <w:i w:val="0"/>
          <w:iCs w:val="0"/>
          <w:caps w:val="0"/>
          <w:color w:val="070707"/>
          <w:spacing w:val="0"/>
          <w:sz w:val="32"/>
          <w:szCs w:val="32"/>
          <w:shd w:val="clear" w:fill="FFFFFF"/>
          <w:lang w:eastAsia="zh-CN"/>
        </w:rPr>
      </w:pPr>
      <w:r>
        <w:rPr>
          <w:rFonts w:hint="eastAsia" w:ascii="仿宋_GB2312" w:hAnsi="sans-serif" w:eastAsia="仿宋_GB2312" w:cs="仿宋_GB2312"/>
          <w:i w:val="0"/>
          <w:iCs w:val="0"/>
          <w:caps w:val="0"/>
          <w:color w:val="070707"/>
          <w:spacing w:val="0"/>
          <w:sz w:val="32"/>
          <w:szCs w:val="32"/>
          <w:shd w:val="clear" w:fill="FFFFFF"/>
          <w:lang w:eastAsia="zh-CN"/>
        </w:rPr>
        <w:t>本机关2023年度未收取政府信息公开信息处理费。</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firstLine="640" w:firstLineChars="200"/>
        <w:textAlignment w:val="auto"/>
        <w:rPr>
          <w:rFonts w:hint="eastAsia" w:ascii="仿宋_GB2312" w:hAnsi="sans-serif" w:eastAsia="仿宋_GB2312" w:cs="仿宋_GB2312"/>
          <w:i w:val="0"/>
          <w:iCs w:val="0"/>
          <w:caps w:val="0"/>
          <w:color w:val="070707"/>
          <w:spacing w:val="0"/>
          <w:sz w:val="32"/>
          <w:szCs w:val="32"/>
          <w:shd w:val="clear" w:fill="FFFFFF"/>
          <w:lang w:eastAsia="zh-CN"/>
        </w:rPr>
      </w:pPr>
      <w:r>
        <w:rPr>
          <w:rFonts w:hint="eastAsia" w:ascii="仿宋_GB2312" w:hAnsi="sans-serif" w:eastAsia="仿宋_GB2312" w:cs="仿宋_GB2312"/>
          <w:i w:val="0"/>
          <w:iCs w:val="0"/>
          <w:caps w:val="0"/>
          <w:color w:val="070707"/>
          <w:spacing w:val="0"/>
          <w:sz w:val="32"/>
          <w:szCs w:val="32"/>
          <w:shd w:val="clear" w:fill="FFFFFF"/>
          <w:lang w:eastAsia="zh-CN"/>
        </w:rPr>
        <w:t>本报告电子版可从“晋城市人民政府”门户网站（www.jcgov.gov.cn）下载。</w:t>
      </w:r>
      <w:bookmarkStart w:id="0" w:name="_GoBack"/>
      <w:bookmarkEnd w:id="0"/>
    </w:p>
    <w:p>
      <w:pPr>
        <w:keepNext w:val="0"/>
        <w:keepLines w:val="0"/>
        <w:pageBreakBefore w:val="0"/>
        <w:kinsoku/>
        <w:overflowPunct/>
        <w:topLinePunct w:val="0"/>
        <w:autoSpaceDE/>
        <w:autoSpaceDN/>
        <w:bidi w:val="0"/>
        <w:adjustRightInd/>
        <w:snapToGrid/>
        <w:spacing w:beforeAutospacing="0" w:afterAutospacing="0" w:line="586" w:lineRule="exact"/>
        <w:textAlignment w:val="auto"/>
        <w:rPr>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firstLine="3840" w:firstLineChars="1200"/>
        <w:textAlignment w:val="auto"/>
        <w:rPr>
          <w:rFonts w:hint="eastAsia" w:ascii="仿宋_GB2312" w:hAnsi="sans-serif" w:eastAsia="仿宋_GB2312" w:cs="仿宋_GB2312"/>
          <w:i w:val="0"/>
          <w:iCs w:val="0"/>
          <w:caps w:val="0"/>
          <w:color w:val="070707"/>
          <w:spacing w:val="0"/>
          <w:sz w:val="32"/>
          <w:szCs w:val="32"/>
          <w:shd w:val="clear" w:fill="FFFFFF"/>
          <w:lang w:eastAsia="zh-CN"/>
        </w:rPr>
      </w:pPr>
      <w:r>
        <w:rPr>
          <w:rFonts w:hint="eastAsia" w:ascii="仿宋_GB2312" w:hAnsi="sans-serif" w:eastAsia="仿宋_GB2312" w:cs="仿宋_GB2312"/>
          <w:i w:val="0"/>
          <w:iCs w:val="0"/>
          <w:caps w:val="0"/>
          <w:color w:val="070707"/>
          <w:spacing w:val="0"/>
          <w:sz w:val="32"/>
          <w:szCs w:val="32"/>
          <w:shd w:val="clear" w:fill="FFFFFF"/>
          <w:lang w:eastAsia="zh-CN"/>
        </w:rPr>
        <w:t>晋城市工业和信息化局（国资委）</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586" w:lineRule="exact"/>
        <w:ind w:firstLine="4800" w:firstLineChars="1500"/>
        <w:textAlignment w:val="auto"/>
        <w:rPr>
          <w:rFonts w:hint="default" w:ascii="仿宋_GB2312" w:hAnsi="sans-serif" w:eastAsia="仿宋_GB2312" w:cs="仿宋_GB2312"/>
          <w:i w:val="0"/>
          <w:iCs w:val="0"/>
          <w:caps w:val="0"/>
          <w:color w:val="070707"/>
          <w:spacing w:val="0"/>
          <w:sz w:val="32"/>
          <w:szCs w:val="32"/>
          <w:shd w:val="clear" w:fill="FFFFFF"/>
          <w:lang w:val="en-US" w:eastAsia="zh-CN"/>
        </w:rPr>
      </w:pPr>
      <w:r>
        <w:rPr>
          <w:rFonts w:hint="eastAsia" w:ascii="仿宋_GB2312" w:hAnsi="sans-serif" w:eastAsia="仿宋_GB2312" w:cs="仿宋_GB2312"/>
          <w:i w:val="0"/>
          <w:iCs w:val="0"/>
          <w:caps w:val="0"/>
          <w:color w:val="070707"/>
          <w:spacing w:val="0"/>
          <w:sz w:val="32"/>
          <w:szCs w:val="32"/>
          <w:shd w:val="clear" w:fill="FFFFFF"/>
          <w:lang w:val="en-US" w:eastAsia="zh-CN"/>
        </w:rPr>
        <w:t>2024年1月8日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ZGFiOTY1OGY2ZDdlODAyNzM4NmJhYTkwMjRmNzMifQ=="/>
    <w:docVar w:name="KSO_WPS_MARK_KEY" w:val="e9c3c554-d53a-4427-88d9-fe4053cd55f6"/>
  </w:docVars>
  <w:rsids>
    <w:rsidRoot w:val="586B3268"/>
    <w:rsid w:val="02F20E17"/>
    <w:rsid w:val="0A5C4D1A"/>
    <w:rsid w:val="127B4A87"/>
    <w:rsid w:val="1E700A7B"/>
    <w:rsid w:val="2B5D64A6"/>
    <w:rsid w:val="2EDA689A"/>
    <w:rsid w:val="4C6839C8"/>
    <w:rsid w:val="53535497"/>
    <w:rsid w:val="53FF7575"/>
    <w:rsid w:val="586B3268"/>
    <w:rsid w:val="64BE3806"/>
    <w:rsid w:val="71B91357"/>
    <w:rsid w:val="76197675"/>
    <w:rsid w:val="76FD5E6D"/>
    <w:rsid w:val="7BBC5451"/>
    <w:rsid w:val="DDDBD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2008</Words>
  <Characters>2179</Characters>
  <Lines>0</Lines>
  <Paragraphs>0</Paragraphs>
  <TotalTime>1</TotalTime>
  <ScaleCrop>false</ScaleCrop>
  <LinksUpToDate>false</LinksUpToDate>
  <CharactersWithSpaces>2188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2023-01-07T10:56:00Z</dcterms:created>
  <dc:creator>Administrator</dc:creator>
  <cp:lastModifiedBy>Administrator</cp:lastModifiedBy>
  <cp:lastPrinted>2024-01-08T16:08:00Z</cp:lastPrinted>
  <dcterms:modified xsi:type="dcterms:W3CDTF">2024-01-17T07:35:24Z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F8904E69DF9E434C87DE5E89716B33B1_13</vt:lpwstr>
  </property>
</Properties>
</file>