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580" w:lineRule="exact"/>
        <w:jc w:val="both"/>
        <w:textAlignment w:val="auto"/>
        <w:outlineLvl w:val="9"/>
        <w:rPr>
          <w:rFonts w:hint="eastAsia" w:ascii="方正仿宋_GBK" w:hAnsi="方正仿宋_GBK" w:eastAsia="方正仿宋_GBK" w:cs="方正仿宋_GBK"/>
          <w:b/>
          <w:bCs/>
          <w:color w:val="000000"/>
          <w:sz w:val="32"/>
          <w:szCs w:val="32"/>
          <w:shd w:val="clear" w:color="auto" w:fill="FFFFFF"/>
        </w:rPr>
      </w:pPr>
      <w:r>
        <w:rPr>
          <w:rFonts w:hint="eastAsia" w:ascii="方正仿宋_GBK" w:hAnsi="方正仿宋_GBK" w:eastAsia="方正仿宋_GBK" w:cs="方正仿宋_GBK"/>
          <w:b/>
          <w:bCs/>
          <w:color w:val="000000"/>
          <w:sz w:val="32"/>
          <w:szCs w:val="32"/>
          <w:shd w:val="clear" w:color="auto" w:fill="FFFFFF"/>
        </w:rPr>
        <w:t>附件2：</w:t>
      </w:r>
    </w:p>
    <w:p>
      <w:pPr>
        <w:keepNext w:val="0"/>
        <w:keepLines w:val="0"/>
        <w:pageBreakBefore w:val="0"/>
        <w:kinsoku/>
        <w:wordWrap/>
        <w:overflowPunct/>
        <w:topLinePunct w:val="0"/>
        <w:autoSpaceDE/>
        <w:autoSpaceDN/>
        <w:bidi w:val="0"/>
        <w:adjustRightInd/>
        <w:snapToGrid/>
        <w:spacing w:line="580" w:lineRule="exact"/>
        <w:jc w:val="both"/>
        <w:textAlignment w:val="auto"/>
        <w:outlineLvl w:val="9"/>
        <w:rPr>
          <w:rFonts w:hint="eastAsia" w:ascii="方正仿宋_GBK" w:hAnsi="方正仿宋_GBK" w:eastAsia="方正仿宋_GBK" w:cs="方正仿宋_GBK"/>
          <w:b/>
          <w:bCs/>
          <w:color w:val="000000"/>
          <w:sz w:val="32"/>
          <w:szCs w:val="32"/>
          <w:shd w:val="clear" w:color="auto" w:fill="FFFFFF"/>
        </w:rPr>
      </w:pPr>
    </w:p>
    <w:p>
      <w:pPr>
        <w:keepNext w:val="0"/>
        <w:keepLines w:val="0"/>
        <w:pageBreakBefore w:val="0"/>
        <w:kinsoku/>
        <w:wordWrap/>
        <w:overflowPunct/>
        <w:topLinePunct w:val="0"/>
        <w:autoSpaceDE/>
        <w:autoSpaceDN/>
        <w:bidi w:val="0"/>
        <w:adjustRightInd/>
        <w:snapToGrid/>
        <w:spacing w:line="580" w:lineRule="exact"/>
        <w:jc w:val="center"/>
        <w:textAlignment w:val="auto"/>
        <w:outlineLvl w:val="9"/>
        <w:rPr>
          <w:rStyle w:val="12"/>
          <w:rFonts w:hint="eastAsia" w:ascii="方正小标宋简体" w:hAnsi="方正小标宋简体" w:eastAsia="方正小标宋简体" w:cs="方正小标宋简体"/>
          <w:b w:val="0"/>
          <w:bCs w:val="0"/>
          <w:color w:val="000000"/>
          <w:sz w:val="44"/>
          <w:szCs w:val="44"/>
          <w:u w:val="none"/>
          <w:shd w:val="clear" w:color="auto" w:fill="FFFFFF"/>
        </w:rPr>
      </w:pPr>
      <w:r>
        <w:rPr>
          <w:rFonts w:hint="eastAsia" w:ascii="方正小标宋简体" w:hAnsi="方正小标宋简体" w:eastAsia="方正小标宋简体" w:cs="方正小标宋简体"/>
          <w:b w:val="0"/>
          <w:bCs w:val="0"/>
          <w:color w:val="000000"/>
          <w:sz w:val="44"/>
          <w:szCs w:val="44"/>
          <w:shd w:val="clear" w:color="auto" w:fill="FFFFFF"/>
        </w:rPr>
        <w:fldChar w:fldCharType="begin"/>
      </w:r>
      <w:r>
        <w:rPr>
          <w:rFonts w:hint="eastAsia" w:ascii="方正小标宋简体" w:hAnsi="方正小标宋简体" w:eastAsia="方正小标宋简体" w:cs="方正小标宋简体"/>
          <w:b w:val="0"/>
          <w:bCs w:val="0"/>
          <w:color w:val="000000"/>
          <w:sz w:val="44"/>
          <w:szCs w:val="44"/>
          <w:shd w:val="clear" w:color="auto" w:fill="FFFFFF"/>
        </w:rPr>
        <w:instrText xml:space="preserve"> HYPERLINK "http://www.sxinfo.gov.cn/u/cms/www/201801/15145012euv2.doc" </w:instrText>
      </w:r>
      <w:r>
        <w:rPr>
          <w:rFonts w:hint="eastAsia" w:ascii="方正小标宋简体" w:hAnsi="方正小标宋简体" w:eastAsia="方正小标宋简体" w:cs="方正小标宋简体"/>
          <w:b w:val="0"/>
          <w:bCs w:val="0"/>
          <w:color w:val="000000"/>
          <w:sz w:val="44"/>
          <w:szCs w:val="44"/>
          <w:shd w:val="clear" w:color="auto" w:fill="FFFFFF"/>
        </w:rPr>
        <w:fldChar w:fldCharType="separate"/>
      </w:r>
      <w:r>
        <w:rPr>
          <w:rFonts w:hint="eastAsia" w:ascii="方正小标宋简体" w:hAnsi="方正小标宋简体" w:eastAsia="方正小标宋简体" w:cs="方正小标宋简体"/>
          <w:b w:val="0"/>
          <w:bCs w:val="0"/>
          <w:color w:val="000000"/>
          <w:sz w:val="44"/>
          <w:szCs w:val="44"/>
          <w:shd w:val="clear" w:color="auto" w:fill="FFFFFF"/>
        </w:rPr>
        <w:t>202</w:t>
      </w:r>
      <w:r>
        <w:rPr>
          <w:rFonts w:hint="eastAsia" w:ascii="方正小标宋简体" w:hAnsi="方正小标宋简体" w:eastAsia="方正小标宋简体" w:cs="方正小标宋简体"/>
          <w:b w:val="0"/>
          <w:bCs w:val="0"/>
          <w:color w:val="000000"/>
          <w:sz w:val="44"/>
          <w:szCs w:val="44"/>
          <w:shd w:val="clear" w:color="auto" w:fill="FFFFFF"/>
          <w:lang w:val="en" w:eastAsia="zh-CN"/>
        </w:rPr>
        <w:t>5</w:t>
      </w:r>
      <w:r>
        <w:rPr>
          <w:rStyle w:val="12"/>
          <w:rFonts w:hint="eastAsia" w:ascii="方正小标宋简体" w:hAnsi="方正小标宋简体" w:eastAsia="方正小标宋简体" w:cs="方正小标宋简体"/>
          <w:b w:val="0"/>
          <w:bCs w:val="0"/>
          <w:color w:val="000000"/>
          <w:sz w:val="44"/>
          <w:szCs w:val="44"/>
          <w:u w:val="none"/>
          <w:shd w:val="clear" w:color="auto" w:fill="FFFFFF"/>
        </w:rPr>
        <w:t>年度山西省科学技术奖</w:t>
      </w:r>
    </w:p>
    <w:p>
      <w:pPr>
        <w:keepNext w:val="0"/>
        <w:keepLines w:val="0"/>
        <w:pageBreakBefore w:val="0"/>
        <w:kinsoku/>
        <w:wordWrap/>
        <w:overflowPunct/>
        <w:topLinePunct w:val="0"/>
        <w:autoSpaceDE/>
        <w:autoSpaceDN/>
        <w:bidi w:val="0"/>
        <w:adjustRightInd/>
        <w:snapToGrid/>
        <w:spacing w:line="580" w:lineRule="exact"/>
        <w:jc w:val="center"/>
        <w:textAlignment w:val="auto"/>
        <w:outlineLvl w:val="9"/>
        <w:rPr>
          <w:rFonts w:hint="eastAsia" w:ascii="方正小标宋简体" w:hAnsi="方正小标宋简体" w:eastAsia="方正小标宋简体" w:cs="方正小标宋简体"/>
          <w:b w:val="0"/>
          <w:bCs w:val="0"/>
          <w:color w:val="000000"/>
          <w:sz w:val="44"/>
          <w:szCs w:val="44"/>
          <w:shd w:val="clear" w:color="auto" w:fill="FFFFFF"/>
        </w:rPr>
      </w:pPr>
      <w:r>
        <w:rPr>
          <w:rStyle w:val="12"/>
          <w:rFonts w:hint="eastAsia" w:ascii="方正小标宋简体" w:hAnsi="方正小标宋简体" w:eastAsia="方正小标宋简体" w:cs="方正小标宋简体"/>
          <w:b w:val="0"/>
          <w:bCs w:val="0"/>
          <w:color w:val="000000"/>
          <w:sz w:val="44"/>
          <w:szCs w:val="44"/>
          <w:u w:val="none"/>
          <w:shd w:val="clear" w:color="auto" w:fill="FFFFFF"/>
        </w:rPr>
        <w:t>拟提名项目公示材料</w:t>
      </w:r>
      <w:r>
        <w:rPr>
          <w:rFonts w:hint="eastAsia" w:ascii="方正小标宋简体" w:hAnsi="方正小标宋简体" w:eastAsia="方正小标宋简体" w:cs="方正小标宋简体"/>
          <w:b w:val="0"/>
          <w:bCs w:val="0"/>
          <w:color w:val="000000"/>
          <w:sz w:val="44"/>
          <w:szCs w:val="44"/>
          <w:shd w:val="clear" w:color="auto" w:fill="FFFFFF"/>
        </w:rPr>
        <w:fldChar w:fldCharType="end"/>
      </w:r>
    </w:p>
    <w:p>
      <w:pPr>
        <w:keepNext w:val="0"/>
        <w:keepLines w:val="0"/>
        <w:pageBreakBefore w:val="0"/>
        <w:wordWrap/>
        <w:overflowPunct/>
        <w:topLinePunct w:val="0"/>
        <w:bidi w:val="0"/>
        <w:spacing w:line="560" w:lineRule="exact"/>
        <w:ind w:firstLine="642"/>
        <w:rPr>
          <w:rFonts w:hint="eastAsia" w:ascii="方正仿宋_GBK" w:hAnsi="方正仿宋_GBK" w:eastAsia="方正仿宋_GBK" w:cs="方正仿宋_GBK"/>
          <w:b w:val="0"/>
          <w:bCs/>
          <w:color w:val="auto"/>
          <w:sz w:val="32"/>
          <w:szCs w:val="32"/>
          <w:lang w:val="en-US" w:eastAsia="zh-CN"/>
        </w:rPr>
      </w:pPr>
    </w:p>
    <w:p>
      <w:pPr>
        <w:pStyle w:val="2"/>
        <w:keepNext w:val="0"/>
        <w:keepLines w:val="0"/>
        <w:pageBreakBefore w:val="0"/>
        <w:wordWrap/>
        <w:overflowPunct/>
        <w:topLinePunct w:val="0"/>
        <w:bidi w:val="0"/>
        <w:spacing w:line="560" w:lineRule="exact"/>
        <w:rPr>
          <w:rFonts w:hint="eastAsia" w:ascii="方正黑体_GBK" w:hAnsi="方正黑体_GBK" w:eastAsia="方正黑体_GBK" w:cs="方正黑体_GBK"/>
          <w:sz w:val="32"/>
          <w:szCs w:val="32"/>
          <w:lang w:val="en" w:eastAsia="zh-CN"/>
        </w:rPr>
      </w:pPr>
      <w:r>
        <w:rPr>
          <w:rFonts w:hint="eastAsia" w:ascii="方正仿宋_GBK" w:hAnsi="方正仿宋_GBK" w:eastAsia="方正仿宋_GBK" w:cs="方正仿宋_GBK"/>
          <w:kern w:val="0"/>
          <w:sz w:val="32"/>
          <w:szCs w:val="32"/>
          <w:lang w:val="en-US" w:eastAsia="zh-CN" w:bidi="ar"/>
        </w:rPr>
        <w:t>　　</w:t>
      </w:r>
      <w:r>
        <w:rPr>
          <w:rFonts w:hint="eastAsia" w:ascii="方正黑体_GBK" w:hAnsi="方正黑体_GBK" w:eastAsia="方正黑体_GBK" w:cs="方正黑体_GBK"/>
          <w:sz w:val="32"/>
          <w:szCs w:val="32"/>
        </w:rPr>
        <w:t>科技进步奖</w:t>
      </w:r>
      <w:r>
        <w:rPr>
          <w:rFonts w:hint="eastAsia" w:ascii="方正黑体_GBK" w:hAnsi="方正黑体_GBK" w:eastAsia="方正黑体_GBK" w:cs="方正黑体_GBK"/>
          <w:sz w:val="32"/>
          <w:szCs w:val="32"/>
          <w:lang w:val="en"/>
        </w:rPr>
        <w:t>(6</w:t>
      </w:r>
      <w:r>
        <w:rPr>
          <w:rFonts w:hint="eastAsia" w:ascii="方正黑体_GBK" w:hAnsi="方正黑体_GBK" w:eastAsia="方正黑体_GBK" w:cs="方正黑体_GBK"/>
          <w:sz w:val="32"/>
          <w:szCs w:val="32"/>
          <w:lang w:val="en" w:eastAsia="zh-CN"/>
        </w:rPr>
        <w:t>项</w:t>
      </w:r>
      <w:r>
        <w:rPr>
          <w:rFonts w:hint="eastAsia" w:ascii="方正黑体_GBK" w:hAnsi="方正黑体_GBK" w:eastAsia="方正黑体_GBK" w:cs="方正黑体_GBK"/>
          <w:sz w:val="32"/>
          <w:szCs w:val="32"/>
          <w:lang w:val="e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
          <w:bCs w:val="0"/>
          <w:kern w:val="2"/>
          <w:sz w:val="32"/>
          <w:szCs w:val="32"/>
          <w:lang w:val="en-US" w:eastAsia="zh-CN" w:bidi="ar-SA"/>
        </w:rPr>
        <w:t>　　</w:t>
      </w:r>
      <w:r>
        <w:rPr>
          <w:rFonts w:hint="eastAsia" w:ascii="方正楷体_GBK" w:hAnsi="方正楷体_GBK" w:eastAsia="方正楷体_GBK" w:cs="方正楷体_GBK"/>
          <w:b/>
          <w:bCs w:val="0"/>
          <w:kern w:val="2"/>
          <w:sz w:val="32"/>
          <w:szCs w:val="32"/>
          <w:lang w:val="en-US" w:eastAsia="zh-CN" w:bidi="ar-SA"/>
        </w:rPr>
        <w:t>一、项目名称</w:t>
      </w:r>
    </w:p>
    <w:p>
      <w:pPr>
        <w:keepNext w:val="0"/>
        <w:keepLines w:val="0"/>
        <w:pageBreakBefore w:val="0"/>
        <w:widowControl w:val="0"/>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b/>
          <w:bCs w:val="0"/>
          <w:kern w:val="2"/>
          <w:sz w:val="32"/>
          <w:szCs w:val="32"/>
          <w:lang w:val="en-US" w:eastAsia="zh-CN" w:bidi="ar-SA"/>
        </w:rPr>
      </w:pPr>
      <w:r>
        <w:rPr>
          <w:rStyle w:val="11"/>
          <w:rFonts w:hint="eastAsia" w:ascii="方正仿宋_GBK" w:hAnsi="方正仿宋_GBK" w:eastAsia="方正仿宋_GBK" w:cs="方正仿宋_GBK"/>
          <w:b w:val="0"/>
          <w:bCs w:val="0"/>
          <w:color w:val="000000"/>
          <w:kern w:val="0"/>
          <w:sz w:val="32"/>
          <w:szCs w:val="32"/>
          <w:lang w:val="en-US" w:eastAsia="zh-CN" w:bidi="ar"/>
        </w:rPr>
        <w:t>无烟煤高效适配冶金工序关键技术创新与工程应用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w:t>
      </w:r>
      <w:bookmarkStart w:id="0" w:name="_GoBack"/>
      <w:bookmarkEnd w:id="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晋城市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提名单位意见</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bCs w:val="0"/>
          <w:kern w:val="2"/>
          <w:sz w:val="32"/>
          <w:szCs w:val="32"/>
          <w:lang w:val="en-US" w:eastAsia="zh-CN" w:bidi="ar-SA"/>
        </w:rPr>
      </w:pPr>
      <w:r>
        <w:rPr>
          <w:rFonts w:hint="eastAsia" w:ascii="方正仿宋_GBK" w:hAnsi="方正仿宋_GBK" w:eastAsia="方正仿宋_GBK" w:cs="方正仿宋_GBK"/>
          <w:color w:val="000000"/>
          <w:sz w:val="32"/>
          <w:szCs w:val="32"/>
          <w:lang w:eastAsia="zh-CN"/>
        </w:rPr>
        <w:t>拟</w:t>
      </w:r>
      <w:r>
        <w:rPr>
          <w:rFonts w:hint="eastAsia" w:ascii="方正仿宋_GBK" w:hAnsi="方正仿宋_GBK" w:eastAsia="方正仿宋_GBK" w:cs="方正仿宋_GBK"/>
          <w:color w:val="000000"/>
          <w:sz w:val="32"/>
          <w:szCs w:val="32"/>
        </w:rPr>
        <w:t>提名参加山西省</w:t>
      </w:r>
      <w:r>
        <w:rPr>
          <w:rFonts w:hint="eastAsia" w:ascii="方正仿宋_GBK" w:hAnsi="方正仿宋_GBK" w:eastAsia="方正仿宋_GBK" w:cs="方正仿宋_GBK"/>
          <w:sz w:val="32"/>
          <w:szCs w:val="32"/>
        </w:rPr>
        <w:t>科技进步</w:t>
      </w: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等奖</w:t>
      </w:r>
      <w:r>
        <w:rPr>
          <w:rFonts w:hint="eastAsia" w:ascii="方正仿宋_GBK" w:hAnsi="方正仿宋_GBK" w:eastAsia="方正仿宋_GBK" w:cs="方正仿宋_GBK"/>
          <w:color w:val="000000"/>
          <w:sz w:val="32"/>
          <w:szCs w:val="32"/>
        </w:rPr>
        <w:t>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项目简介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该</w:t>
      </w:r>
      <w:r>
        <w:rPr>
          <w:rFonts w:hint="eastAsia" w:ascii="方正仿宋_GBK" w:hAnsi="方正仿宋_GBK" w:eastAsia="方正仿宋_GBK" w:cs="方正仿宋_GBK"/>
          <w:sz w:val="32"/>
          <w:szCs w:val="32"/>
        </w:rPr>
        <w:t>项目隶属于煤炭加工利用科学技术领域，为技术开发类成果。项目针对传统工艺下无烟煤难以规模化替代焦炭、冶金多工序煤质适配要求严苛，以及煤炭热值向化学能高效转化困难等行业技术瓶颈，系统揭示了晋城无烟煤在烧结、高炉、炼钢、铁合金等冶金全工序的反应机理、高炉无烟块煤劣化规律与钢液渗碳溶解特性，提出并研发五大冶金环节成套优化技术、无烟煤混喷与块煤代焦工艺、冶金用煤评价模型及配套工艺标准，构建起钢铁行业多工序无烟煤协同利用完整技术体系，开创</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以煤代焦</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冶金新工艺。</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（一）主要研究内容：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i w:val="0"/>
          <w:iCs w:val="0"/>
          <w:caps w:val="0"/>
          <w:color w:val="1F2329"/>
          <w:spacing w:val="0"/>
          <w:sz w:val="32"/>
          <w:szCs w:val="32"/>
          <w:shd w:val="clear" w:fill="FFFFFF"/>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1.</w:t>
      </w:r>
      <w:r>
        <w:rPr>
          <w:rFonts w:hint="eastAsia" w:ascii="方正仿宋_GBK" w:hAnsi="方正仿宋_GBK" w:eastAsia="方正仿宋_GBK" w:cs="方正仿宋_GBK"/>
          <w:i w:val="0"/>
          <w:iCs w:val="0"/>
          <w:caps w:val="0"/>
          <w:color w:val="1F2329"/>
          <w:spacing w:val="0"/>
          <w:sz w:val="32"/>
          <w:szCs w:val="32"/>
          <w:shd w:val="clear" w:fill="FFFFFF"/>
        </w:rPr>
        <w:t>研发烧结用无烟煤优化技术，确定最佳粒级与工艺参数，制定专用技术标准。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i w:val="0"/>
          <w:iCs w:val="0"/>
          <w:caps w:val="0"/>
          <w:color w:val="1F2329"/>
          <w:spacing w:val="0"/>
          <w:sz w:val="32"/>
          <w:szCs w:val="32"/>
          <w:shd w:val="clear" w:fill="FFFFFF"/>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2.</w:t>
      </w:r>
      <w:r>
        <w:rPr>
          <w:rFonts w:hint="eastAsia" w:ascii="方正仿宋_GBK" w:hAnsi="方正仿宋_GBK" w:eastAsia="方正仿宋_GBK" w:cs="方正仿宋_GBK"/>
          <w:i w:val="0"/>
          <w:iCs w:val="0"/>
          <w:caps w:val="0"/>
          <w:color w:val="1F2329"/>
          <w:spacing w:val="0"/>
          <w:sz w:val="32"/>
          <w:szCs w:val="32"/>
          <w:shd w:val="clear" w:fill="FFFFFF"/>
        </w:rPr>
        <w:t>构建高炉喷吹煤性价比评价模型，开发无烟煤</w:t>
      </w:r>
      <w:r>
        <w:rPr>
          <w:rFonts w:hint="eastAsia" w:ascii="方正仿宋_GBK" w:hAnsi="方正仿宋_GBK" w:eastAsia="方正仿宋_GBK" w:cs="方正仿宋_GBK"/>
          <w:i w:val="0"/>
          <w:iCs w:val="0"/>
          <w:caps w:val="0"/>
          <w:color w:val="1F2329"/>
          <w:spacing w:val="0"/>
          <w:sz w:val="32"/>
          <w:szCs w:val="32"/>
          <w:shd w:val="clear" w:fill="FFFFFF"/>
          <w:lang w:val="en-US" w:eastAsia="zh-CN"/>
        </w:rPr>
        <w:t>-</w:t>
      </w:r>
      <w:r>
        <w:rPr>
          <w:rFonts w:hint="eastAsia" w:ascii="方正仿宋_GBK" w:hAnsi="方正仿宋_GBK" w:eastAsia="方正仿宋_GBK" w:cs="方正仿宋_GBK"/>
          <w:i w:val="0"/>
          <w:iCs w:val="0"/>
          <w:caps w:val="0"/>
          <w:color w:val="1F2329"/>
          <w:spacing w:val="0"/>
          <w:sz w:val="32"/>
          <w:szCs w:val="32"/>
          <w:shd w:val="clear" w:fill="FFFFFF"/>
        </w:rPr>
        <w:t>烟煤混喷技术。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i w:val="0"/>
          <w:iCs w:val="0"/>
          <w:caps w:val="0"/>
          <w:color w:val="1F2329"/>
          <w:spacing w:val="0"/>
          <w:sz w:val="32"/>
          <w:szCs w:val="32"/>
          <w:shd w:val="clear" w:fill="FFFFFF"/>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3.</w:t>
      </w:r>
      <w:r>
        <w:rPr>
          <w:rFonts w:hint="eastAsia" w:ascii="方正仿宋_GBK" w:hAnsi="方正仿宋_GBK" w:eastAsia="方正仿宋_GBK" w:cs="方正仿宋_GBK"/>
          <w:i w:val="0"/>
          <w:iCs w:val="0"/>
          <w:caps w:val="0"/>
          <w:color w:val="1F2329"/>
          <w:spacing w:val="0"/>
          <w:sz w:val="32"/>
          <w:szCs w:val="32"/>
          <w:shd w:val="clear" w:fill="FFFFFF"/>
        </w:rPr>
        <w:t>探明无烟块煤高炉劣化机理，研发块煤代焦应用技术。</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eastAsia" w:ascii="方正仿宋_GBK" w:hAnsi="方正仿宋_GBK" w:eastAsia="方正仿宋_GBK" w:cs="方正仿宋_GBK"/>
          <w:i w:val="0"/>
          <w:iCs w:val="0"/>
          <w:caps w:val="0"/>
          <w:color w:val="1F2329"/>
          <w:spacing w:val="0"/>
          <w:sz w:val="32"/>
          <w:szCs w:val="32"/>
          <w:shd w:val="clear" w:fill="FFFFFF"/>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4.</w:t>
      </w:r>
      <w:r>
        <w:rPr>
          <w:rFonts w:hint="eastAsia" w:ascii="方正仿宋_GBK" w:hAnsi="方正仿宋_GBK" w:eastAsia="方正仿宋_GBK" w:cs="方正仿宋_GBK"/>
          <w:i w:val="0"/>
          <w:iCs w:val="0"/>
          <w:caps w:val="0"/>
          <w:color w:val="1F2329"/>
          <w:spacing w:val="0"/>
          <w:sz w:val="32"/>
          <w:szCs w:val="32"/>
          <w:shd w:val="clear" w:fill="FFFFFF"/>
        </w:rPr>
        <w:t>确定铁合金冶炼用无烟煤的煤质、粒度适用标准，配套完善应用工艺。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 xml:space="preserve">  　5.</w:t>
      </w:r>
      <w:r>
        <w:rPr>
          <w:rFonts w:hint="eastAsia" w:ascii="方正仿宋_GBK" w:hAnsi="方正仿宋_GBK" w:eastAsia="方正仿宋_GBK" w:cs="方正仿宋_GBK"/>
          <w:i w:val="0"/>
          <w:iCs w:val="0"/>
          <w:caps w:val="0"/>
          <w:color w:val="1F2329"/>
          <w:spacing w:val="0"/>
          <w:sz w:val="32"/>
          <w:szCs w:val="32"/>
          <w:shd w:val="clear" w:fill="FFFFFF"/>
        </w:rPr>
        <w:t>掌握无烟煤在电炉、转炉炼钢中的反应规律，形成增碳补热成套工艺技术。</w:t>
      </w:r>
    </w:p>
    <w:p>
      <w:pPr>
        <w:keepNext w:val="0"/>
        <w:keepLines w:val="0"/>
        <w:pageBreakBefore w:val="0"/>
        <w:widowControl w:val="0"/>
        <w:kinsoku/>
        <w:wordWrap/>
        <w:overflowPunct/>
        <w:topLinePunct w:val="0"/>
        <w:autoSpaceDE/>
        <w:autoSpaceDN/>
        <w:bidi w:val="0"/>
        <w:adjustRightInd/>
        <w:snapToGrid/>
        <w:spacing w:line="580" w:lineRule="exact"/>
        <w:ind w:firstLine="642" w:firstLineChars="200"/>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（二）技术经济指标：</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i w:val="0"/>
          <w:iCs w:val="0"/>
          <w:caps w:val="0"/>
          <w:color w:val="1F2329"/>
          <w:spacing w:val="0"/>
          <w:sz w:val="32"/>
          <w:szCs w:val="32"/>
          <w:shd w:val="clear" w:fill="FFFFFF"/>
          <w:lang w:val="en-US" w:eastAsia="zh-CN"/>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　　高炉喷吹：实现吨铁无烟煤喷吹量≥150kg；</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i w:val="0"/>
          <w:iCs w:val="0"/>
          <w:caps w:val="0"/>
          <w:color w:val="1F2329"/>
          <w:spacing w:val="0"/>
          <w:sz w:val="32"/>
          <w:szCs w:val="32"/>
          <w:shd w:val="clear" w:fill="FFFFFF"/>
          <w:lang w:val="en-US" w:eastAsia="zh-CN"/>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　　高炉冶炼：吨铁无烟块煤替代焦炭用量≥25kg；</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lef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　　转炉炼钢：单位用煤量≥20kg/t；电弧炉炼钢：单位用煤量≥40kg/t。</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客观评价</w:t>
      </w:r>
    </w:p>
    <w:p>
      <w:pPr>
        <w:keepNext w:val="0"/>
        <w:keepLines w:val="0"/>
        <w:pageBreakBefore w:val="0"/>
        <w:widowControl w:val="0"/>
        <w:kinsoku/>
        <w:wordWrap/>
        <w:overflowPunct/>
        <w:topLinePunct w:val="0"/>
        <w:autoSpaceDE/>
        <w:autoSpaceDN/>
        <w:bidi w:val="0"/>
        <w:adjustRightInd/>
        <w:snapToGrid/>
        <w:spacing w:beforeAutospacing="0" w:afterAutospacing="0" w:line="580" w:lineRule="exact"/>
        <w:ind w:left="0" w:leftChars="0" w:right="0" w:rightChars="0" w:firstLine="640" w:firstLineChars="200"/>
        <w:jc w:val="both"/>
        <w:textAlignment w:val="auto"/>
        <w:rPr>
          <w:rFonts w:hint="eastAsia" w:ascii="方正仿宋_GBK" w:hAnsi="方正仿宋_GBK" w:eastAsia="方正仿宋_GBK" w:cs="方正仿宋_GBK"/>
          <w:i w:val="0"/>
          <w:iCs w:val="0"/>
          <w:caps w:val="0"/>
          <w:color w:val="1F2329"/>
          <w:spacing w:val="0"/>
          <w:sz w:val="32"/>
          <w:szCs w:val="32"/>
          <w:shd w:val="clear" w:fill="FFFFFF"/>
          <w:lang w:val="en-US" w:eastAsia="zh-CN"/>
        </w:rPr>
      </w:pPr>
      <w:r>
        <w:rPr>
          <w:rFonts w:hint="default" w:ascii="方正仿宋_GBK" w:hAnsi="方正仿宋_GBK" w:eastAsia="方正仿宋_GBK" w:cs="方正仿宋_GBK"/>
          <w:i w:val="0"/>
          <w:iCs w:val="0"/>
          <w:caps w:val="0"/>
          <w:color w:val="1F2329"/>
          <w:spacing w:val="0"/>
          <w:sz w:val="32"/>
          <w:szCs w:val="32"/>
          <w:shd w:val="clear" w:fill="FFFFFF"/>
          <w:lang w:val="en-US" w:eastAsia="zh-CN"/>
        </w:rPr>
        <w:t>项目于2024年04月经中国煤炭工业协会组织鉴定（证书编号：中煤科鉴字[2023]第ws34号），鉴定结论表明：项目整体技术达到国际</w:t>
      </w:r>
      <w:r>
        <w:rPr>
          <w:rFonts w:hint="eastAsia" w:ascii="方正仿宋_GBK" w:hAnsi="方正仿宋_GBK" w:eastAsia="方正仿宋_GBK" w:cs="方正仿宋_GBK"/>
          <w:i w:val="0"/>
          <w:iCs w:val="0"/>
          <w:caps w:val="0"/>
          <w:color w:val="1F2329"/>
          <w:spacing w:val="0"/>
          <w:sz w:val="32"/>
          <w:szCs w:val="32"/>
          <w:shd w:val="clear" w:fill="FFFFFF"/>
          <w:lang w:val="en-US" w:eastAsia="zh-CN"/>
        </w:rPr>
        <w:t>领先</w:t>
      </w:r>
      <w:r>
        <w:rPr>
          <w:rFonts w:hint="default" w:ascii="方正仿宋_GBK" w:hAnsi="方正仿宋_GBK" w:eastAsia="方正仿宋_GBK" w:cs="方正仿宋_GBK"/>
          <w:i w:val="0"/>
          <w:iCs w:val="0"/>
          <w:caps w:val="0"/>
          <w:color w:val="1F2329"/>
          <w:spacing w:val="0"/>
          <w:sz w:val="32"/>
          <w:szCs w:val="32"/>
          <w:shd w:val="clear" w:fill="FFFFFF"/>
          <w:lang w:val="en-US" w:eastAsia="zh-CN"/>
        </w:rPr>
        <w:t>水平。</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推广应用情况</w:t>
      </w:r>
    </w:p>
    <w:p>
      <w:pPr>
        <w:keepNext w:val="0"/>
        <w:keepLines w:val="0"/>
        <w:pageBreakBefore w:val="0"/>
        <w:widowControl w:val="0"/>
        <w:kinsoku/>
        <w:wordWrap/>
        <w:overflowPunct/>
        <w:topLinePunct w:val="0"/>
        <w:autoSpaceDE/>
        <w:autoSpaceDN/>
        <w:bidi w:val="0"/>
        <w:adjustRightInd/>
        <w:snapToGrid/>
        <w:spacing w:beforeAutospacing="0" w:after="157" w:afterLines="50" w:afterAutospacing="0" w:line="580" w:lineRule="exact"/>
        <w:ind w:left="0" w:leftChars="0" w:right="0" w:rightChars="0" w:firstLine="640" w:firstLineChars="200"/>
        <w:jc w:val="both"/>
        <w:textAlignment w:val="auto"/>
        <w:rPr>
          <w:rFonts w:hint="eastAsia"/>
        </w:rPr>
      </w:pPr>
      <w:r>
        <w:rPr>
          <w:rFonts w:hint="eastAsia" w:ascii="方正仿宋_GBK" w:hAnsi="方正仿宋_GBK" w:eastAsia="方正仿宋_GBK" w:cs="方正仿宋_GBK"/>
          <w:i w:val="0"/>
          <w:iCs w:val="0"/>
          <w:caps w:val="0"/>
          <w:color w:val="1F2329"/>
          <w:spacing w:val="0"/>
          <w:sz w:val="32"/>
          <w:szCs w:val="32"/>
          <w:shd w:val="clear" w:fill="FFFFFF"/>
          <w:lang w:val="en-US" w:eastAsia="zh-CN"/>
        </w:rPr>
        <w:t>项目成果主要应用于烧结、高炉喷吹、高炉炼铁、铁合金冶炼、转炉/电炉炼钢五大冶金工序，已在河北秦皇岛佰工钢铁、江苏镔鑫钢铁等多家大型钢企落地应用；煤炭端应用单位为晋能控股装备制造集团有限公司寺河煤矿、山西长平煤业有限责任公司。</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主要知识产权证明目录</w:t>
      </w:r>
    </w:p>
    <w:tbl>
      <w:tblPr>
        <w:tblStyle w:val="9"/>
        <w:tblW w:w="89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52"/>
        <w:gridCol w:w="1682"/>
        <w:gridCol w:w="1723"/>
        <w:gridCol w:w="20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5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授权项目名称</w:t>
            </w:r>
          </w:p>
        </w:tc>
        <w:tc>
          <w:tcPr>
            <w:tcW w:w="16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知识产权类型</w:t>
            </w:r>
          </w:p>
        </w:tc>
        <w:tc>
          <w:tcPr>
            <w:tcW w:w="17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国（区）别</w:t>
            </w:r>
          </w:p>
        </w:tc>
        <w:tc>
          <w:tcPr>
            <w:tcW w:w="20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5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eastAsia="zh-CN"/>
              </w:rPr>
              <w:t>一种无烟块煤在高炉中的劣化研究方法</w:t>
            </w:r>
          </w:p>
        </w:tc>
        <w:tc>
          <w:tcPr>
            <w:tcW w:w="16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发明专利</w:t>
            </w:r>
          </w:p>
        </w:tc>
        <w:tc>
          <w:tcPr>
            <w:tcW w:w="17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中国</w:t>
            </w:r>
          </w:p>
        </w:tc>
        <w:tc>
          <w:tcPr>
            <w:tcW w:w="20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sz w:val="21"/>
                <w:szCs w:val="21"/>
                <w:vertAlign w:val="baseline"/>
                <w:lang w:val="en-US" w:eastAsia="zh-CN"/>
              </w:rPr>
              <w:t>ZL202111434621.7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5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sz w:val="21"/>
                <w:szCs w:val="21"/>
                <w:vertAlign w:val="baseline"/>
                <w:lang w:val="en-US" w:eastAsia="zh-CN"/>
              </w:rPr>
              <w:t>一种利用无烟煤降低Consteel电炉全废钢冶炼成本的方法</w:t>
            </w:r>
          </w:p>
        </w:tc>
        <w:tc>
          <w:tcPr>
            <w:tcW w:w="16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val="en-US" w:eastAsia="zh-CN"/>
              </w:rPr>
              <w:t>发明专利</w:t>
            </w:r>
          </w:p>
        </w:tc>
        <w:tc>
          <w:tcPr>
            <w:tcW w:w="17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val="en-US" w:eastAsia="zh-CN"/>
              </w:rPr>
              <w:t>中国</w:t>
            </w:r>
          </w:p>
        </w:tc>
        <w:tc>
          <w:tcPr>
            <w:tcW w:w="2082" w:type="dxa"/>
            <w:vAlign w:val="center"/>
          </w:tcPr>
          <w:p>
            <w:pPr>
              <w:keepNext w:val="0"/>
              <w:keepLines w:val="0"/>
              <w:pageBreakBefore w:val="0"/>
              <w:widowControl/>
              <w:numPr>
                <w:ilvl w:val="0"/>
                <w:numId w:val="0"/>
              </w:numPr>
              <w:tabs>
                <w:tab w:val="center" w:pos="4783"/>
              </w:tabs>
              <w:kinsoku/>
              <w:wordWrap/>
              <w:overflowPunct/>
              <w:topLinePunct w:val="0"/>
              <w:autoSpaceDE/>
              <w:autoSpaceDN/>
              <w:bidi w:val="0"/>
              <w:adjustRightInd w:val="0"/>
              <w:snapToGrid w:val="0"/>
              <w:spacing w:line="440" w:lineRule="exact"/>
              <w:ind w:firstLine="0" w:firstLineChars="0"/>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sz w:val="21"/>
                <w:szCs w:val="21"/>
                <w:vertAlign w:val="baseline"/>
                <w:lang w:val="en-US" w:eastAsia="zh-CN"/>
              </w:rPr>
              <w:t>ZL202111430960.8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45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sz w:val="21"/>
                <w:szCs w:val="21"/>
                <w:vertAlign w:val="baseline"/>
                <w:lang w:val="en-US" w:eastAsia="zh-CN"/>
              </w:rPr>
              <w:t>烧结用固体燃料综合评价模型的建立方法及应用</w:t>
            </w:r>
          </w:p>
        </w:tc>
        <w:tc>
          <w:tcPr>
            <w:tcW w:w="16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val="en-US" w:eastAsia="zh-CN"/>
              </w:rPr>
              <w:t>发明专利</w:t>
            </w:r>
          </w:p>
        </w:tc>
        <w:tc>
          <w:tcPr>
            <w:tcW w:w="172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vertAlign w:val="baseline"/>
                <w:lang w:val="en-US" w:eastAsia="zh-CN"/>
              </w:rPr>
              <w:t>中国</w:t>
            </w:r>
          </w:p>
        </w:tc>
        <w:tc>
          <w:tcPr>
            <w:tcW w:w="2082"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 w:val="0"/>
                <w:bCs/>
                <w:sz w:val="21"/>
                <w:szCs w:val="21"/>
                <w:vertAlign w:val="baseline"/>
                <w:lang w:val="en-US" w:eastAsia="zh-CN"/>
              </w:rPr>
              <w:t>ZL202111430960.8</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主要完成人情况</w:t>
      </w:r>
    </w:p>
    <w:tbl>
      <w:tblPr>
        <w:tblStyle w:val="9"/>
        <w:tblW w:w="9032"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5"/>
        <w:gridCol w:w="903"/>
        <w:gridCol w:w="566"/>
        <w:gridCol w:w="756"/>
        <w:gridCol w:w="993"/>
        <w:gridCol w:w="689"/>
        <w:gridCol w:w="1460"/>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排名</w:t>
            </w:r>
          </w:p>
        </w:tc>
        <w:tc>
          <w:tcPr>
            <w:tcW w:w="90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姓名</w:t>
            </w:r>
          </w:p>
        </w:tc>
        <w:tc>
          <w:tcPr>
            <w:tcW w:w="56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性别</w:t>
            </w:r>
          </w:p>
        </w:tc>
        <w:tc>
          <w:tcPr>
            <w:tcW w:w="75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出生年月</w:t>
            </w:r>
          </w:p>
        </w:tc>
        <w:tc>
          <w:tcPr>
            <w:tcW w:w="993"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技术职称</w:t>
            </w:r>
          </w:p>
        </w:tc>
        <w:tc>
          <w:tcPr>
            <w:tcW w:w="689"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文化程度</w:t>
            </w:r>
          </w:p>
        </w:tc>
        <w:tc>
          <w:tcPr>
            <w:tcW w:w="146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工作单位</w:t>
            </w:r>
          </w:p>
        </w:tc>
        <w:tc>
          <w:tcPr>
            <w:tcW w:w="310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vertAlign w:val="baseline"/>
                <w:lang w:val="en-US" w:eastAsia="zh-CN"/>
              </w:rPr>
              <w:t>对成果创新性贡献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8" w:hRule="atLeast"/>
        </w:trPr>
        <w:tc>
          <w:tcPr>
            <w:tcW w:w="5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w:t>
            </w:r>
          </w:p>
        </w:tc>
        <w:tc>
          <w:tcPr>
            <w:tcW w:w="9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都海龙</w:t>
            </w:r>
          </w:p>
        </w:tc>
        <w:tc>
          <w:tcPr>
            <w:tcW w:w="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男</w:t>
            </w:r>
          </w:p>
        </w:tc>
        <w:tc>
          <w:tcPr>
            <w:tcW w:w="75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1977.11</w:t>
            </w:r>
          </w:p>
        </w:tc>
        <w:tc>
          <w:tcPr>
            <w:tcW w:w="9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正高级工程师</w:t>
            </w:r>
          </w:p>
        </w:tc>
        <w:tc>
          <w:tcPr>
            <w:tcW w:w="68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博士</w:t>
            </w:r>
          </w:p>
        </w:tc>
        <w:tc>
          <w:tcPr>
            <w:tcW w:w="14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晋能控股装备制造集团有限公司</w:t>
            </w:r>
          </w:p>
        </w:tc>
        <w:tc>
          <w:tcPr>
            <w:tcW w:w="31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left"/>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sz w:val="21"/>
                <w:szCs w:val="21"/>
              </w:rPr>
              <w:t>作为项目总负责人把握整体研究方向，系统分析无烟煤在全冶金工序的应用发展规律，全程指导各项工艺优化与工业工程示范工作。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w:t>
            </w:r>
          </w:p>
        </w:tc>
        <w:tc>
          <w:tcPr>
            <w:tcW w:w="90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寇康康</w:t>
            </w:r>
          </w:p>
        </w:tc>
        <w:tc>
          <w:tcPr>
            <w:tcW w:w="56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女</w:t>
            </w:r>
          </w:p>
        </w:tc>
        <w:tc>
          <w:tcPr>
            <w:tcW w:w="75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1983.10</w:t>
            </w:r>
          </w:p>
        </w:tc>
        <w:tc>
          <w:tcPr>
            <w:tcW w:w="993"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高级经济师</w:t>
            </w:r>
          </w:p>
        </w:tc>
        <w:tc>
          <w:tcPr>
            <w:tcW w:w="689"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硕士</w:t>
            </w:r>
          </w:p>
        </w:tc>
        <w:tc>
          <w:tcPr>
            <w:tcW w:w="146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center"/>
              <w:textAlignment w:val="auto"/>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晋能控股集团有限公司</w:t>
            </w:r>
          </w:p>
        </w:tc>
        <w:tc>
          <w:tcPr>
            <w:tcW w:w="3100"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jc w:val="left"/>
              <w:textAlignment w:val="auto"/>
              <w:rPr>
                <w:rFonts w:hint="eastAsia" w:asciiTheme="minorEastAsia" w:hAnsiTheme="minorEastAsia" w:eastAsiaTheme="minorEastAsia" w:cstheme="minorEastAsia"/>
                <w:b w:val="0"/>
                <w:bCs w:val="0"/>
                <w:sz w:val="21"/>
                <w:szCs w:val="21"/>
                <w:vertAlign w:val="baseline"/>
                <w:lang w:val="en-US" w:eastAsia="zh-CN"/>
              </w:rPr>
            </w:pPr>
            <w:r>
              <w:rPr>
                <w:rFonts w:hint="eastAsia" w:asciiTheme="minorEastAsia" w:hAnsiTheme="minorEastAsia" w:eastAsiaTheme="minorEastAsia" w:cstheme="minorEastAsia"/>
                <w:b w:val="0"/>
                <w:bCs w:val="0"/>
                <w:i w:val="0"/>
                <w:iCs w:val="0"/>
                <w:caps w:val="0"/>
                <w:color w:val="1F2329"/>
                <w:spacing w:val="0"/>
                <w:sz w:val="21"/>
                <w:szCs w:val="21"/>
                <w:shd w:val="clear" w:fill="FFFFFF"/>
              </w:rPr>
              <w:t>作为核心研究人员协助把控研究方向，分析无烟煤在炼钢工序的反应规律，指导炼钢环节工艺优化与工业试验工作。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3</w:t>
            </w:r>
          </w:p>
        </w:tc>
        <w:tc>
          <w:tcPr>
            <w:tcW w:w="90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王健</w:t>
            </w:r>
          </w:p>
        </w:tc>
        <w:tc>
          <w:tcPr>
            <w:tcW w:w="56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男</w:t>
            </w:r>
          </w:p>
        </w:tc>
        <w:tc>
          <w:tcPr>
            <w:tcW w:w="75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1986.01</w:t>
            </w:r>
          </w:p>
        </w:tc>
        <w:tc>
          <w:tcPr>
            <w:tcW w:w="99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高级工程师</w:t>
            </w:r>
          </w:p>
        </w:tc>
        <w:tc>
          <w:tcPr>
            <w:tcW w:w="689"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硕士</w:t>
            </w:r>
          </w:p>
        </w:tc>
        <w:tc>
          <w:tcPr>
            <w:tcW w:w="146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山西晋煤集团技术研究院有限责任公司</w:t>
            </w:r>
          </w:p>
        </w:tc>
        <w:tc>
          <w:tcPr>
            <w:tcW w:w="310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i w:val="0"/>
                <w:iCs w:val="0"/>
                <w:caps w:val="0"/>
                <w:color w:val="1F2329"/>
                <w:spacing w:val="0"/>
                <w:sz w:val="21"/>
                <w:szCs w:val="21"/>
                <w:shd w:val="clear" w:fill="FFFFFF"/>
              </w:rPr>
              <w:t>参与把控项目研究方向，分析无烟煤在高炉、铁合金、炼钢领域的应用特征，协助开展工艺优化与试验示范。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56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4</w:t>
            </w:r>
          </w:p>
        </w:tc>
        <w:tc>
          <w:tcPr>
            <w:tcW w:w="90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时进吉</w:t>
            </w:r>
          </w:p>
        </w:tc>
        <w:tc>
          <w:tcPr>
            <w:tcW w:w="56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男</w:t>
            </w:r>
          </w:p>
        </w:tc>
        <w:tc>
          <w:tcPr>
            <w:tcW w:w="75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1969.10</w:t>
            </w:r>
          </w:p>
        </w:tc>
        <w:tc>
          <w:tcPr>
            <w:tcW w:w="99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正高级工程师</w:t>
            </w:r>
          </w:p>
        </w:tc>
        <w:tc>
          <w:tcPr>
            <w:tcW w:w="689"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本科</w:t>
            </w:r>
          </w:p>
        </w:tc>
        <w:tc>
          <w:tcPr>
            <w:tcW w:w="146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晋能控股装备制造集团有限公司</w:t>
            </w:r>
          </w:p>
        </w:tc>
        <w:tc>
          <w:tcPr>
            <w:tcW w:w="310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b w:val="0"/>
                <w:bCs w:val="0"/>
                <w:i w:val="0"/>
                <w:iCs w:val="0"/>
                <w:caps w:val="0"/>
                <w:color w:val="1F2329"/>
                <w:spacing w:val="0"/>
                <w:kern w:val="2"/>
                <w:sz w:val="21"/>
                <w:szCs w:val="21"/>
                <w:shd w:val="clear" w:fill="FFFFFF"/>
                <w:lang w:val="en-US" w:eastAsia="zh-CN" w:bidi="ar-SA"/>
              </w:rPr>
            </w:pPr>
            <w:r>
              <w:rPr>
                <w:rFonts w:hint="eastAsia" w:asciiTheme="minorEastAsia" w:hAnsiTheme="minorEastAsia" w:eastAsiaTheme="minorEastAsia" w:cstheme="minorEastAsia"/>
                <w:b w:val="0"/>
                <w:bCs w:val="0"/>
                <w:sz w:val="21"/>
                <w:szCs w:val="21"/>
              </w:rPr>
              <w:t>参与项目研究方向把控，分析烧结、高炉用煤技术发展规律，指导标准编制与烧结工艺优化及工程应用。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trPr>
        <w:tc>
          <w:tcPr>
            <w:tcW w:w="56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5</w:t>
            </w:r>
          </w:p>
        </w:tc>
        <w:tc>
          <w:tcPr>
            <w:tcW w:w="90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宋斌</w:t>
            </w:r>
          </w:p>
        </w:tc>
        <w:tc>
          <w:tcPr>
            <w:tcW w:w="56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女</w:t>
            </w:r>
          </w:p>
        </w:tc>
        <w:tc>
          <w:tcPr>
            <w:tcW w:w="75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1973.04</w:t>
            </w:r>
          </w:p>
        </w:tc>
        <w:tc>
          <w:tcPr>
            <w:tcW w:w="99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高级工程师</w:t>
            </w:r>
          </w:p>
        </w:tc>
        <w:tc>
          <w:tcPr>
            <w:tcW w:w="689"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本科</w:t>
            </w:r>
          </w:p>
        </w:tc>
        <w:tc>
          <w:tcPr>
            <w:tcW w:w="146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晋能控股装备制造集团有限公司</w:t>
            </w:r>
          </w:p>
        </w:tc>
        <w:tc>
          <w:tcPr>
            <w:tcW w:w="310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rPr>
              <w:t>协助把控试验研究方向，分析高炉喷吹、炉内劣化及钢液反应规律，参与试验分析与工艺优化工作。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6</w:t>
            </w:r>
          </w:p>
        </w:tc>
        <w:tc>
          <w:tcPr>
            <w:tcW w:w="90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李磊</w:t>
            </w:r>
          </w:p>
        </w:tc>
        <w:tc>
          <w:tcPr>
            <w:tcW w:w="56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男</w:t>
            </w:r>
          </w:p>
        </w:tc>
        <w:tc>
          <w:tcPr>
            <w:tcW w:w="75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1988.02</w:t>
            </w:r>
          </w:p>
        </w:tc>
        <w:tc>
          <w:tcPr>
            <w:tcW w:w="99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高级工程师</w:t>
            </w:r>
          </w:p>
        </w:tc>
        <w:tc>
          <w:tcPr>
            <w:tcW w:w="689"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本科</w:t>
            </w:r>
          </w:p>
        </w:tc>
        <w:tc>
          <w:tcPr>
            <w:tcW w:w="146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晋能控股装备制造集团有限公司</w:t>
            </w:r>
          </w:p>
        </w:tc>
        <w:tc>
          <w:tcPr>
            <w:tcW w:w="310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rPr>
              <w:t>协助把握项目现场研究方向，分析各工序工业应用规律，全程协助工艺优化与现场工程示范落地。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7</w:t>
            </w:r>
          </w:p>
        </w:tc>
        <w:tc>
          <w:tcPr>
            <w:tcW w:w="90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左海滨</w:t>
            </w:r>
          </w:p>
        </w:tc>
        <w:tc>
          <w:tcPr>
            <w:tcW w:w="56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男</w:t>
            </w:r>
          </w:p>
        </w:tc>
        <w:tc>
          <w:tcPr>
            <w:tcW w:w="75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1976.04</w:t>
            </w:r>
          </w:p>
        </w:tc>
        <w:tc>
          <w:tcPr>
            <w:tcW w:w="99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教授</w:t>
            </w:r>
          </w:p>
        </w:tc>
        <w:tc>
          <w:tcPr>
            <w:tcW w:w="689"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博士</w:t>
            </w:r>
          </w:p>
        </w:tc>
        <w:tc>
          <w:tcPr>
            <w:tcW w:w="146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北京科技大学</w:t>
            </w:r>
          </w:p>
        </w:tc>
        <w:tc>
          <w:tcPr>
            <w:tcW w:w="310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rPr>
              <w:t>作为高校技术负责人把握基础理论研究方向，分析无烟煤冶金反应内在发展规律，指导机理研究与实验室工艺优化。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565"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8</w:t>
            </w:r>
          </w:p>
        </w:tc>
        <w:tc>
          <w:tcPr>
            <w:tcW w:w="90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张蕊红</w:t>
            </w:r>
          </w:p>
        </w:tc>
        <w:tc>
          <w:tcPr>
            <w:tcW w:w="56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女</w:t>
            </w:r>
          </w:p>
        </w:tc>
        <w:tc>
          <w:tcPr>
            <w:tcW w:w="75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1986.02</w:t>
            </w:r>
          </w:p>
        </w:tc>
        <w:tc>
          <w:tcPr>
            <w:tcW w:w="993"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高级工程师</w:t>
            </w:r>
          </w:p>
        </w:tc>
        <w:tc>
          <w:tcPr>
            <w:tcW w:w="689"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硕士</w:t>
            </w:r>
          </w:p>
        </w:tc>
        <w:tc>
          <w:tcPr>
            <w:tcW w:w="146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center"/>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lang w:val="en-US" w:eastAsia="zh-CN"/>
              </w:rPr>
              <w:t>山西晋煤集团技术研究院有限责任公司</w:t>
            </w:r>
          </w:p>
        </w:tc>
        <w:tc>
          <w:tcPr>
            <w:tcW w:w="3100"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left="0" w:leftChars="0" w:firstLine="0" w:firstLineChars="0"/>
              <w:jc w:val="left"/>
              <w:textAlignment w:val="auto"/>
              <w:rPr>
                <w:rFonts w:hint="eastAsia" w:asciiTheme="minorEastAsia" w:hAnsiTheme="minorEastAsia" w:eastAsiaTheme="minorEastAsia" w:cstheme="minorEastAsia"/>
                <w:b w:val="0"/>
                <w:bCs w:val="0"/>
                <w:kern w:val="2"/>
                <w:sz w:val="21"/>
                <w:szCs w:val="21"/>
                <w:lang w:val="en-US" w:eastAsia="zh-CN" w:bidi="ar-SA"/>
              </w:rPr>
            </w:pPr>
            <w:r>
              <w:rPr>
                <w:rFonts w:hint="eastAsia" w:asciiTheme="minorEastAsia" w:hAnsiTheme="minorEastAsia" w:eastAsiaTheme="minorEastAsia" w:cstheme="minorEastAsia"/>
                <w:b w:val="0"/>
                <w:bCs w:val="0"/>
                <w:sz w:val="21"/>
                <w:szCs w:val="21"/>
              </w:rPr>
              <w:t>协助把控试验研究方向，分析高炉喷吹、炉内劣化及钢液反应规律，参与试验分析与工艺优化工作。</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b/>
          <w:bCs/>
          <w:sz w:val="32"/>
          <w:szCs w:val="32"/>
          <w:highlight w:val="none"/>
          <w:lang w:eastAsia="zh-CN"/>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主要完成单位及创新推广贡献</w:t>
      </w:r>
    </w:p>
    <w:tbl>
      <w:tblPr>
        <w:tblStyle w:val="9"/>
        <w:tblW w:w="90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1928"/>
        <w:gridCol w:w="62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8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序号</w:t>
            </w:r>
          </w:p>
        </w:tc>
        <w:tc>
          <w:tcPr>
            <w:tcW w:w="1928"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单位名称</w:t>
            </w:r>
          </w:p>
        </w:tc>
        <w:tc>
          <w:tcPr>
            <w:tcW w:w="626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创新推广贡献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1</w:t>
            </w:r>
          </w:p>
        </w:tc>
        <w:tc>
          <w:tcPr>
            <w:tcW w:w="1928" w:type="dxa"/>
            <w:vAlign w:val="center"/>
          </w:tcPr>
          <w:p>
            <w:pPr>
              <w:spacing w:line="280" w:lineRule="exact"/>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晋能控股装备制造集团有限公司</w:t>
            </w:r>
          </w:p>
        </w:tc>
        <w:tc>
          <w:tcPr>
            <w:tcW w:w="6267" w:type="dxa"/>
            <w:vAlign w:val="center"/>
          </w:tcPr>
          <w:p>
            <w:pPr>
              <w:spacing w:line="280" w:lineRule="exact"/>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牵头统筹项目研发与产业化，搭建冶金多工序无烟煤协同利用技术体系，建立分工序煤质评价标准，牵头制定应用方案，推动全流程技术落地与成果推广。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2</w:t>
            </w:r>
          </w:p>
        </w:tc>
        <w:tc>
          <w:tcPr>
            <w:tcW w:w="1928" w:type="dxa"/>
            <w:vAlign w:val="center"/>
          </w:tcPr>
          <w:p>
            <w:pPr>
              <w:spacing w:line="280" w:lineRule="exact"/>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山西晋煤集团技术研究院有限责任公司</w:t>
            </w:r>
          </w:p>
        </w:tc>
        <w:tc>
          <w:tcPr>
            <w:tcW w:w="6267" w:type="dxa"/>
            <w:vAlign w:val="center"/>
          </w:tcPr>
          <w:p>
            <w:pPr>
              <w:spacing w:line="280" w:lineRule="exact"/>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开展全流程试验与工艺研发，攻克无烟煤代焦、代粉技术难题，完成多场景工业试验，优化生产工艺，形成可复制的工业化应用模式。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3</w:t>
            </w:r>
          </w:p>
        </w:tc>
        <w:tc>
          <w:tcPr>
            <w:tcW w:w="1928" w:type="dxa"/>
            <w:vAlign w:val="center"/>
          </w:tcPr>
          <w:p>
            <w:pPr>
              <w:spacing w:line="280" w:lineRule="exact"/>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北京科技大学</w:t>
            </w:r>
          </w:p>
        </w:tc>
        <w:tc>
          <w:tcPr>
            <w:tcW w:w="6267" w:type="dxa"/>
            <w:vAlign w:val="center"/>
          </w:tcPr>
          <w:p>
            <w:pPr>
              <w:spacing w:line="280" w:lineRule="exact"/>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开展基础机理研究，揭示无烟煤烧结、高炉、炼钢反应规律，构建性能评价模型与研究方法，以基础理论支撑整套工艺技术创新。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4</w:t>
            </w:r>
          </w:p>
        </w:tc>
        <w:tc>
          <w:tcPr>
            <w:tcW w:w="1928" w:type="dxa"/>
            <w:vAlign w:val="center"/>
          </w:tcPr>
          <w:p>
            <w:pPr>
              <w:spacing w:line="280" w:lineRule="exact"/>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晋能控股装备制造集团有限公司寺河煤矿</w:t>
            </w:r>
          </w:p>
        </w:tc>
        <w:tc>
          <w:tcPr>
            <w:tcW w:w="6267" w:type="dxa"/>
            <w:vAlign w:val="center"/>
          </w:tcPr>
          <w:p>
            <w:pPr>
              <w:spacing w:line="280" w:lineRule="exact"/>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针对性研究本矿无烟煤燃烧、破碎特性，确定烧结适配工艺，优化产品供给，拓宽冶金用煤销路。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1"/>
                <w:szCs w:val="21"/>
                <w:lang w:val="en-US" w:eastAsia="zh-CN"/>
              </w:rPr>
            </w:pPr>
            <w:r>
              <w:rPr>
                <w:rFonts w:hint="eastAsia" w:asciiTheme="minorEastAsia" w:hAnsiTheme="minorEastAsia" w:eastAsiaTheme="minorEastAsia" w:cstheme="minorEastAsia"/>
                <w:b w:val="0"/>
                <w:bCs w:val="0"/>
                <w:sz w:val="21"/>
                <w:szCs w:val="21"/>
                <w:lang w:val="en-US" w:eastAsia="zh-CN"/>
              </w:rPr>
              <w:t>5</w:t>
            </w:r>
          </w:p>
        </w:tc>
        <w:tc>
          <w:tcPr>
            <w:tcW w:w="1928" w:type="dxa"/>
            <w:vAlign w:val="center"/>
          </w:tcPr>
          <w:p>
            <w:pPr>
              <w:spacing w:line="280" w:lineRule="exact"/>
              <w:jc w:val="center"/>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sz w:val="21"/>
                <w:szCs w:val="21"/>
              </w:rPr>
              <w:t>山西长平煤业有限责任公司</w:t>
            </w:r>
          </w:p>
        </w:tc>
        <w:tc>
          <w:tcPr>
            <w:tcW w:w="6267" w:type="dxa"/>
            <w:vAlign w:val="center"/>
          </w:tcPr>
          <w:p>
            <w:pPr>
              <w:spacing w:line="280" w:lineRule="exact"/>
              <w:jc w:val="left"/>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i w:val="0"/>
                <w:iCs w:val="0"/>
                <w:caps w:val="0"/>
                <w:color w:val="000000"/>
                <w:spacing w:val="0"/>
                <w:sz w:val="21"/>
                <w:szCs w:val="21"/>
              </w:rPr>
              <w:t>重点攻关无烟煤与烟煤混喷技术，确定最优掺配比例，提升煤粉燃烧效率，落地高炉喷吹工艺，扩大煤种市场占有率。</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color w:val="auto"/>
          <w:sz w:val="32"/>
          <w:szCs w:val="32"/>
          <w:lang w:eastAsia="zh-CN"/>
        </w:rPr>
        <w:t>　　</w:t>
      </w:r>
      <w:r>
        <w:rPr>
          <w:rFonts w:hint="eastAsia" w:ascii="方正楷体_GBK" w:hAnsi="方正楷体_GBK" w:eastAsia="方正楷体_GBK" w:cs="方正楷体_GBK"/>
          <w:b/>
          <w:color w:val="auto"/>
          <w:sz w:val="32"/>
          <w:szCs w:val="32"/>
        </w:rPr>
        <w:t>完成人合作关系说明</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楷体_GBK" w:hAnsi="方正楷体_GBK" w:eastAsia="方正楷体_GBK" w:cs="方正楷体_GBK"/>
          <w:sz w:val="32"/>
          <w:szCs w:val="32"/>
        </w:rPr>
      </w:pPr>
      <w:r>
        <w:rPr>
          <w:rFonts w:hint="eastAsia" w:ascii="方正仿宋_GBK" w:hAnsi="方正仿宋_GBK" w:eastAsia="方正仿宋_GBK" w:cs="方正仿宋_GBK"/>
          <w:sz w:val="32"/>
          <w:szCs w:val="32"/>
          <w:lang w:eastAsia="zh-CN"/>
        </w:rPr>
        <w:t>　　</w:t>
      </w:r>
      <w:r>
        <w:rPr>
          <w:rFonts w:hint="eastAsia" w:ascii="方正仿宋_GBK" w:hAnsi="方正仿宋_GBK" w:eastAsia="方正仿宋_GBK" w:cs="方正仿宋_GBK"/>
          <w:sz w:val="32"/>
          <w:szCs w:val="32"/>
        </w:rPr>
        <w:t>都海龙、寇康康、王健、时进吉、</w:t>
      </w:r>
      <w:r>
        <w:rPr>
          <w:rFonts w:hint="eastAsia" w:ascii="方正仿宋_GBK" w:hAnsi="方正仿宋_GBK" w:eastAsia="方正仿宋_GBK" w:cs="方正仿宋_GBK"/>
          <w:sz w:val="32"/>
          <w:szCs w:val="32"/>
          <w:lang w:val="en-US" w:eastAsia="zh-CN"/>
        </w:rPr>
        <w:t>宋斌、</w:t>
      </w:r>
      <w:r>
        <w:rPr>
          <w:rFonts w:hint="eastAsia" w:ascii="方正仿宋_GBK" w:hAnsi="方正仿宋_GBK" w:eastAsia="方正仿宋_GBK" w:cs="方正仿宋_GBK"/>
          <w:sz w:val="32"/>
          <w:szCs w:val="32"/>
        </w:rPr>
        <w:t>李磊、左海滨、张蕊</w:t>
      </w:r>
      <w:r>
        <w:rPr>
          <w:rFonts w:hint="eastAsia" w:ascii="方正仿宋_GBK" w:hAnsi="方正仿宋_GBK" w:eastAsia="方正仿宋_GBK" w:cs="方正仿宋_GBK"/>
          <w:sz w:val="32"/>
          <w:szCs w:val="32"/>
          <w:lang w:val="en-US" w:eastAsia="zh-CN"/>
        </w:rPr>
        <w:t>红</w:t>
      </w:r>
      <w:r>
        <w:rPr>
          <w:rFonts w:hint="eastAsia" w:ascii="方正仿宋_GBK" w:hAnsi="方正仿宋_GBK" w:eastAsia="方正仿宋_GBK" w:cs="方正仿宋_GBK"/>
          <w:sz w:val="32"/>
          <w:szCs w:val="32"/>
        </w:rPr>
        <w:t>8人自2019年9月至2025年12月全程协同开展</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无烟煤高效适配冶金工序关键技术创新与工程应用</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项目攻关，共同完成项目立项、试验研发、工业示范、成果鉴定等全部工作。团队分工协作，联合申报发明专利、合著学术论文、参与编制国家及行业标准。</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
          <w:bCs w:val="0"/>
          <w:kern w:val="2"/>
          <w:sz w:val="32"/>
          <w:szCs w:val="32"/>
          <w:lang w:val="en-US" w:eastAsia="zh-CN" w:bidi="ar-SA"/>
        </w:rPr>
        <w:t>　　二、项目名称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煤储层径向井轨迹特征与高效疏导增透改造技术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晋城市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提名单位意见</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bCs w:val="0"/>
          <w:kern w:val="2"/>
          <w:sz w:val="32"/>
          <w:szCs w:val="32"/>
          <w:lang w:val="en-US" w:eastAsia="zh-CN" w:bidi="ar-SA"/>
        </w:rPr>
      </w:pPr>
      <w:r>
        <w:rPr>
          <w:rFonts w:hint="eastAsia" w:ascii="方正仿宋_GBK" w:hAnsi="方正仿宋_GBK" w:eastAsia="方正仿宋_GBK" w:cs="方正仿宋_GBK"/>
          <w:color w:val="000000"/>
          <w:sz w:val="32"/>
          <w:szCs w:val="32"/>
          <w:lang w:eastAsia="zh-CN"/>
        </w:rPr>
        <w:t>拟</w:t>
      </w:r>
      <w:r>
        <w:rPr>
          <w:rFonts w:hint="eastAsia" w:ascii="方正仿宋_GBK" w:hAnsi="方正仿宋_GBK" w:eastAsia="方正仿宋_GBK" w:cs="方正仿宋_GBK"/>
          <w:color w:val="000000"/>
          <w:sz w:val="32"/>
          <w:szCs w:val="32"/>
        </w:rPr>
        <w:t>提名参加山西省</w:t>
      </w:r>
      <w:r>
        <w:rPr>
          <w:rFonts w:hint="eastAsia" w:ascii="方正仿宋_GBK" w:hAnsi="方正仿宋_GBK" w:eastAsia="方正仿宋_GBK" w:cs="方正仿宋_GBK"/>
          <w:sz w:val="32"/>
          <w:szCs w:val="32"/>
        </w:rPr>
        <w:t>科技进步</w:t>
      </w: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等奖</w:t>
      </w:r>
      <w:r>
        <w:rPr>
          <w:rFonts w:hint="eastAsia" w:ascii="方正仿宋_GBK" w:hAnsi="方正仿宋_GBK" w:eastAsia="方正仿宋_GBK" w:cs="方正仿宋_GBK"/>
          <w:color w:val="000000"/>
          <w:sz w:val="32"/>
          <w:szCs w:val="32"/>
        </w:rPr>
        <w:t>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val="0"/>
          <w:bCs w:val="0"/>
          <w:i w:val="0"/>
          <w:iCs w:val="0"/>
          <w:caps w:val="0"/>
          <w:spacing w:val="0"/>
          <w:sz w:val="32"/>
          <w:szCs w:val="32"/>
          <w:highlight w:val="none"/>
          <w:shd w:val="clear" w:color="auto" w:fill="FFFFFF"/>
          <w:lang w:val="en-US" w:eastAsia="zh-CN"/>
        </w:rPr>
      </w:pPr>
      <w:r>
        <w:rPr>
          <w:rFonts w:hint="eastAsia" w:ascii="方正楷体_GBK" w:hAnsi="方正楷体_GBK" w:eastAsia="方正楷体_GBK" w:cs="方正楷体_GBK"/>
          <w:b/>
          <w:bCs w:val="0"/>
          <w:kern w:val="2"/>
          <w:sz w:val="32"/>
          <w:szCs w:val="32"/>
          <w:lang w:val="en-US" w:eastAsia="zh-CN" w:bidi="ar-SA"/>
        </w:rPr>
        <w:t>项目简介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eastAsia="zh-CN"/>
        </w:rPr>
        <w:t>该</w:t>
      </w:r>
      <w:r>
        <w:rPr>
          <w:rFonts w:hint="eastAsia" w:ascii="方正仿宋_GBK" w:hAnsi="方正仿宋_GBK" w:eastAsia="方正仿宋_GBK" w:cs="方正仿宋_GBK"/>
          <w:sz w:val="32"/>
          <w:szCs w:val="32"/>
        </w:rPr>
        <w:t>项目属于</w:t>
      </w:r>
      <w:r>
        <w:rPr>
          <w:rFonts w:hint="eastAsia" w:ascii="方正仿宋_GBK" w:hAnsi="方正仿宋_GBK" w:eastAsia="方正仿宋_GBK" w:cs="方正仿宋_GBK"/>
          <w:sz w:val="32"/>
          <w:szCs w:val="32"/>
          <w:lang w:val="en-US" w:eastAsia="zh-CN"/>
        </w:rPr>
        <w:t>煤层气开发</w:t>
      </w:r>
      <w:r>
        <w:rPr>
          <w:rFonts w:hint="eastAsia" w:ascii="方正仿宋_GBK" w:hAnsi="方正仿宋_GBK" w:eastAsia="方正仿宋_GBK" w:cs="方正仿宋_GBK"/>
          <w:sz w:val="32"/>
          <w:szCs w:val="32"/>
        </w:rPr>
        <w:t>领域，技术开发类成果</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项目针对径向井技术在煤层气开发中井眼轨迹不明，储层增透改造效果不理想等难题，开展理论研究和技术攻关。通过实验室测试分析与地面小型试验，探讨了煤储层的径向井成孔效果和井眼行进轨迹，并对其影响因素进行评价。基于理论分析，提出了煤储层径向井井眼施工轨迹监测方法，并通过现场试验，形成了径向井施工轨迹监测技术。在此基础上，研发了煤储层径向井高效施工技术，有效解决了煤粉返排效率低、易堵塞储层裂隙通道等难题。基于影响煤储层径向井施工效果的因素分析结果，建立了煤储层径向井高效疏导压裂增透技术与工艺。</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主要研究内容：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1）查明了径向井在煤储层的成孔效果及井眼行进轨迹特征，建立了基于电位法的煤储层径向井井眼轨迹监测方法与工艺，实现了煤层气径向井井眼轨迹的实时监测，揭示了径向井井眼方位偏转和分支实际长度小于设计长度的深层次原因，有效解决了煤储层径向井井眼轨迹现场监测手段缺失、井眼行进轨迹不明了等难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创新了径向井二次开窗多次回拉、高压喷射破煤低压回拉成孔、分段扩孔落渣喷射成孔等煤储层径向井高效施工技术，有效解决了煤粉的返排效率低、堵塞储层天然裂隙通道等难题，提高了径向井的施工效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提出了煤层气径向井疏导压裂增透改造技术，优化了分支布设方位和压裂液组分配方，大范围沟通煤层原始裂隙，扩大压裂裂缝的延展面积和排水降压控制范围，最大程度地解除煤层气老井、低产井近井地带应力集中，实现老井、低产井疏导增透，达到延长煤层气井寿命的目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技术经济指标：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项目成果在山西晋城矿区寺河矿、成庄矿分别完成了5口低产直井的改造与示范，平均单井日增产量1175方/天。2023-2025年累计煤层气产量1163.25万方，累计创造产值2675.48万元，取得了良好的增产改造效果和经济社会效益。</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客观评价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rPr>
      </w:pPr>
      <w:r>
        <w:rPr>
          <w:rFonts w:hint="eastAsia" w:ascii="方正仿宋_GBK" w:hAnsi="方正仿宋_GBK" w:eastAsia="方正仿宋_GBK" w:cs="方正仿宋_GBK"/>
          <w:sz w:val="32"/>
          <w:szCs w:val="32"/>
          <w:lang w:val="en-US" w:eastAsia="zh-CN"/>
        </w:rPr>
        <w:t>项目研究成果达国际先进水平。</w:t>
      </w:r>
    </w:p>
    <w:p>
      <w:pPr>
        <w:pStyle w:val="2"/>
        <w:rPr>
          <w:rFonts w:hint="eastAsia" w:ascii="方正楷体_GBK" w:hAnsi="方正楷体_GBK" w:eastAsia="方正楷体_GBK" w:cs="方正楷体_GBK"/>
          <w:b/>
          <w:sz w:val="32"/>
          <w:szCs w:val="32"/>
        </w:rPr>
      </w:pPr>
      <w:r>
        <w:rPr>
          <w:rFonts w:ascii="经典宋体简" w:eastAsia="经典宋体简"/>
          <w:b/>
          <w:sz w:val="28"/>
          <w:szCs w:val="28"/>
        </w:rPr>
        <w:drawing>
          <wp:inline distT="0" distB="0" distL="0" distR="0">
            <wp:extent cx="2708910" cy="4093845"/>
            <wp:effectExtent l="0" t="0" r="15240" b="190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noChangeArrowheads="true"/>
                    </pic:cNvPicPr>
                  </pic:nvPicPr>
                  <pic:blipFill>
                    <a:blip r:embed="rId5" cstate="print"/>
                    <a:srcRect/>
                    <a:stretch>
                      <a:fillRect/>
                    </a:stretch>
                  </pic:blipFill>
                  <pic:spPr>
                    <a:xfrm>
                      <a:off x="0" y="0"/>
                      <a:ext cx="2708910" cy="4093845"/>
                    </a:xfrm>
                    <a:prstGeom prst="rect">
                      <a:avLst/>
                    </a:prstGeom>
                    <a:noFill/>
                    <a:ln w="9525">
                      <a:noFill/>
                      <a:miter lim="800000"/>
                      <a:headEnd/>
                      <a:tailEnd/>
                    </a:ln>
                  </pic:spPr>
                </pic:pic>
              </a:graphicData>
            </a:graphic>
          </wp:inline>
        </w:drawing>
      </w:r>
      <w:r>
        <w:rPr>
          <w:rFonts w:ascii="经典宋体简" w:eastAsia="经典宋体简"/>
          <w:b/>
          <w:sz w:val="28"/>
          <w:szCs w:val="28"/>
        </w:rPr>
        <w:drawing>
          <wp:inline distT="0" distB="0" distL="0" distR="0">
            <wp:extent cx="2797175" cy="4289425"/>
            <wp:effectExtent l="0" t="0" r="3175" b="15875"/>
            <wp:docPr id="4" name="图片 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true" noChangeArrowheads="true"/>
                    </pic:cNvPicPr>
                  </pic:nvPicPr>
                  <pic:blipFill>
                    <a:blip r:embed="rId6" cstate="print"/>
                    <a:srcRect/>
                    <a:stretch>
                      <a:fillRect/>
                    </a:stretch>
                  </pic:blipFill>
                  <pic:spPr>
                    <a:xfrm>
                      <a:off x="0" y="0"/>
                      <a:ext cx="2797175" cy="4289425"/>
                    </a:xfrm>
                    <a:prstGeom prst="rect">
                      <a:avLst/>
                    </a:prstGeom>
                    <a:noFill/>
                    <a:ln w="9525">
                      <a:noFill/>
                      <a:miter lim="800000"/>
                      <a:headEnd/>
                      <a:tailEnd/>
                    </a:ln>
                  </pic:spPr>
                </pic:pic>
              </a:graphicData>
            </a:graphic>
          </wp:inline>
        </w:drawing>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推广应用情况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煤储层径向井轨迹特征与高效疏导增透改造技术研究成果已在山西省晋城矿区寺河、成庄等矿进行了应用，累计完成了10口示范井。其中，寺河矿、成庄矿各完成了5口地面直井的老井增产改造示范，平均单井日增产量1175方/天。2023-2025年累计煤层气产量1163.25万方，累计创造产值2675.48万元，取得了良好的增产改造效果和经济效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rPr>
      </w:pPr>
      <w:r>
        <w:rPr>
          <w:rFonts w:hint="eastAsia" w:ascii="方正仿宋_GBK" w:hAnsi="方正仿宋_GBK" w:eastAsia="方正仿宋_GBK" w:cs="方正仿宋_GBK"/>
          <w:color w:val="auto"/>
          <w:sz w:val="32"/>
          <w:szCs w:val="32"/>
          <w:lang w:val="en-US" w:eastAsia="zh-CN"/>
        </w:rPr>
        <w:t>研究成果已在晋城矿区赵庄矿、岳城矿，西山矿区屯兰矿等区域进行了推广应用，有效延长了老井寿命，提高了地面煤层气的抽采率，保障了矿井的安全高效开采。将在煤层气井的老井、低产井改造中得到更为广泛的推广与应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主要知识产权证明目录</w:t>
      </w:r>
    </w:p>
    <w:tbl>
      <w:tblPr>
        <w:tblStyle w:val="9"/>
        <w:tblW w:w="90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0"/>
        <w:gridCol w:w="1824"/>
        <w:gridCol w:w="1419"/>
        <w:gridCol w:w="1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0"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授权项目名称</w:t>
            </w:r>
          </w:p>
        </w:tc>
        <w:tc>
          <w:tcPr>
            <w:tcW w:w="1824"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知识产权类型</w:t>
            </w:r>
          </w:p>
        </w:tc>
        <w:tc>
          <w:tcPr>
            <w:tcW w:w="1419"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国（区）别</w:t>
            </w:r>
          </w:p>
        </w:tc>
        <w:tc>
          <w:tcPr>
            <w:tcW w:w="189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0"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径向井施工低压喷射回拉成孔工艺</w:t>
            </w:r>
          </w:p>
        </w:tc>
        <w:tc>
          <w:tcPr>
            <w:tcW w:w="1824"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发明</w:t>
            </w:r>
          </w:p>
        </w:tc>
        <w:tc>
          <w:tcPr>
            <w:tcW w:w="1419"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中国</w:t>
            </w:r>
          </w:p>
        </w:tc>
        <w:tc>
          <w:tcPr>
            <w:tcW w:w="1891"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Cs/>
                <w:sz w:val="21"/>
                <w:szCs w:val="21"/>
              </w:rPr>
              <w:t>CN104863508B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0"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径向井施工煤粉高效返排工艺</w:t>
            </w:r>
          </w:p>
        </w:tc>
        <w:tc>
          <w:tcPr>
            <w:tcW w:w="1824"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发明</w:t>
            </w:r>
          </w:p>
        </w:tc>
        <w:tc>
          <w:tcPr>
            <w:tcW w:w="1419"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中国</w:t>
            </w:r>
          </w:p>
        </w:tc>
        <w:tc>
          <w:tcPr>
            <w:tcW w:w="1891"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Cs/>
                <w:sz w:val="21"/>
                <w:szCs w:val="21"/>
              </w:rPr>
              <w:t>CN104832089B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0"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一种破碎低渗煤层煤层气短水平井组高效开采方法</w:t>
            </w:r>
          </w:p>
        </w:tc>
        <w:tc>
          <w:tcPr>
            <w:tcW w:w="1824"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发明</w:t>
            </w:r>
          </w:p>
        </w:tc>
        <w:tc>
          <w:tcPr>
            <w:tcW w:w="1419"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中国</w:t>
            </w:r>
          </w:p>
        </w:tc>
        <w:tc>
          <w:tcPr>
            <w:tcW w:w="1891"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Cs/>
                <w:sz w:val="21"/>
                <w:szCs w:val="21"/>
              </w:rPr>
              <w:t>CN112593910B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0"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一种防堵塞的煤层气排采井筒筛管</w:t>
            </w:r>
          </w:p>
        </w:tc>
        <w:tc>
          <w:tcPr>
            <w:tcW w:w="1824"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实用新型</w:t>
            </w:r>
          </w:p>
        </w:tc>
        <w:tc>
          <w:tcPr>
            <w:tcW w:w="1419"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sz w:val="21"/>
                <w:szCs w:val="21"/>
              </w:rPr>
              <w:t>中国</w:t>
            </w:r>
          </w:p>
        </w:tc>
        <w:tc>
          <w:tcPr>
            <w:tcW w:w="1891" w:type="dxa"/>
            <w:vAlign w:val="center"/>
          </w:tcPr>
          <w:p>
            <w:pPr>
              <w:spacing w:line="0" w:lineRule="atLeast"/>
              <w:jc w:val="center"/>
              <w:rPr>
                <w:rFonts w:hint="eastAsia" w:asciiTheme="minorEastAsia" w:hAnsiTheme="minorEastAsia" w:eastAsiaTheme="minorEastAsia" w:cstheme="minorEastAsia"/>
                <w:sz w:val="21"/>
                <w:szCs w:val="21"/>
                <w:vertAlign w:val="baseline"/>
                <w:lang w:eastAsia="zh-CN"/>
              </w:rPr>
            </w:pPr>
            <w:r>
              <w:rPr>
                <w:rFonts w:hint="eastAsia" w:asciiTheme="minorEastAsia" w:hAnsiTheme="minorEastAsia" w:eastAsiaTheme="minorEastAsia" w:cstheme="minorEastAsia"/>
                <w:bCs/>
                <w:sz w:val="21"/>
                <w:szCs w:val="21"/>
              </w:rPr>
              <w:t>CN209179737U</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主要完成人情况</w:t>
      </w:r>
    </w:p>
    <w:tbl>
      <w:tblPr>
        <w:tblStyle w:val="9"/>
        <w:tblW w:w="9052" w:type="dxa"/>
        <w:tblInd w:w="5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6"/>
        <w:gridCol w:w="865"/>
        <w:gridCol w:w="605"/>
        <w:gridCol w:w="1047"/>
        <w:gridCol w:w="1016"/>
        <w:gridCol w:w="1061"/>
        <w:gridCol w:w="1467"/>
        <w:gridCol w:w="2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排名</w:t>
            </w:r>
          </w:p>
        </w:tc>
        <w:tc>
          <w:tcPr>
            <w:tcW w:w="86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姓名</w:t>
            </w:r>
          </w:p>
        </w:tc>
        <w:tc>
          <w:tcPr>
            <w:tcW w:w="60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性别</w:t>
            </w:r>
          </w:p>
        </w:tc>
        <w:tc>
          <w:tcPr>
            <w:tcW w:w="104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出生年月</w:t>
            </w:r>
          </w:p>
        </w:tc>
        <w:tc>
          <w:tcPr>
            <w:tcW w:w="1016"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技术职称</w:t>
            </w:r>
          </w:p>
        </w:tc>
        <w:tc>
          <w:tcPr>
            <w:tcW w:w="1061"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文化程度</w:t>
            </w:r>
          </w:p>
        </w:tc>
        <w:tc>
          <w:tcPr>
            <w:tcW w:w="146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工作单位</w:t>
            </w:r>
          </w:p>
        </w:tc>
        <w:tc>
          <w:tcPr>
            <w:tcW w:w="242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对成果创新性贡献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w:t>
            </w:r>
          </w:p>
        </w:tc>
        <w:tc>
          <w:tcPr>
            <w:tcW w:w="86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季长江</w:t>
            </w:r>
          </w:p>
        </w:tc>
        <w:tc>
          <w:tcPr>
            <w:tcW w:w="60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男</w:t>
            </w:r>
          </w:p>
        </w:tc>
        <w:tc>
          <w:tcPr>
            <w:tcW w:w="104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1986/04</w:t>
            </w:r>
          </w:p>
        </w:tc>
        <w:tc>
          <w:tcPr>
            <w:tcW w:w="1016"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高级工程师</w:t>
            </w:r>
          </w:p>
        </w:tc>
        <w:tc>
          <w:tcPr>
            <w:tcW w:w="1061"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博士</w:t>
            </w:r>
          </w:p>
        </w:tc>
        <w:tc>
          <w:tcPr>
            <w:tcW w:w="146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晋能控股装备制造集团有限公司</w:t>
            </w:r>
          </w:p>
        </w:tc>
        <w:tc>
          <w:tcPr>
            <w:tcW w:w="242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项目总体负责人，负责项目筹划、立项论证、设计编制、运行实施。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2</w:t>
            </w:r>
          </w:p>
        </w:tc>
        <w:tc>
          <w:tcPr>
            <w:tcW w:w="86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鲁博</w:t>
            </w:r>
          </w:p>
        </w:tc>
        <w:tc>
          <w:tcPr>
            <w:tcW w:w="60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男</w:t>
            </w:r>
          </w:p>
        </w:tc>
        <w:tc>
          <w:tcPr>
            <w:tcW w:w="104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1980/01</w:t>
            </w:r>
          </w:p>
        </w:tc>
        <w:tc>
          <w:tcPr>
            <w:tcW w:w="1016"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高级工程师</w:t>
            </w:r>
          </w:p>
        </w:tc>
        <w:tc>
          <w:tcPr>
            <w:tcW w:w="1061"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硕士</w:t>
            </w:r>
          </w:p>
        </w:tc>
        <w:tc>
          <w:tcPr>
            <w:tcW w:w="146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晋能控股装备制造集团有限公司</w:t>
            </w:r>
          </w:p>
        </w:tc>
        <w:tc>
          <w:tcPr>
            <w:tcW w:w="242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项目整体协调组织、成果凝练等工作。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3</w:t>
            </w:r>
          </w:p>
        </w:tc>
        <w:tc>
          <w:tcPr>
            <w:tcW w:w="86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张江华</w:t>
            </w:r>
          </w:p>
        </w:tc>
        <w:tc>
          <w:tcPr>
            <w:tcW w:w="60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男</w:t>
            </w:r>
          </w:p>
        </w:tc>
        <w:tc>
          <w:tcPr>
            <w:tcW w:w="104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1984/04</w:t>
            </w:r>
          </w:p>
        </w:tc>
        <w:tc>
          <w:tcPr>
            <w:tcW w:w="1016"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高级工程师</w:t>
            </w:r>
          </w:p>
        </w:tc>
        <w:tc>
          <w:tcPr>
            <w:tcW w:w="1061"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硕士</w:t>
            </w:r>
          </w:p>
        </w:tc>
        <w:tc>
          <w:tcPr>
            <w:tcW w:w="146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晋能控股装备制造集团有限公司</w:t>
            </w:r>
          </w:p>
        </w:tc>
        <w:tc>
          <w:tcPr>
            <w:tcW w:w="242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项目研究方案设计与数据处理。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4</w:t>
            </w:r>
          </w:p>
        </w:tc>
        <w:tc>
          <w:tcPr>
            <w:tcW w:w="86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郭盛强</w:t>
            </w:r>
          </w:p>
        </w:tc>
        <w:tc>
          <w:tcPr>
            <w:tcW w:w="60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男</w:t>
            </w:r>
          </w:p>
        </w:tc>
        <w:tc>
          <w:tcPr>
            <w:tcW w:w="104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1979/12</w:t>
            </w:r>
          </w:p>
        </w:tc>
        <w:tc>
          <w:tcPr>
            <w:tcW w:w="1016"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高级工程师</w:t>
            </w:r>
          </w:p>
        </w:tc>
        <w:tc>
          <w:tcPr>
            <w:tcW w:w="1061"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硕士</w:t>
            </w:r>
          </w:p>
        </w:tc>
        <w:tc>
          <w:tcPr>
            <w:tcW w:w="146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山西蓝焰煤层气集团有限责任公司</w:t>
            </w:r>
          </w:p>
        </w:tc>
        <w:tc>
          <w:tcPr>
            <w:tcW w:w="242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改造示范组织与实施，项目成果凝练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5</w:t>
            </w:r>
          </w:p>
        </w:tc>
        <w:tc>
          <w:tcPr>
            <w:tcW w:w="86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信凯</w:t>
            </w:r>
          </w:p>
        </w:tc>
        <w:tc>
          <w:tcPr>
            <w:tcW w:w="60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女</w:t>
            </w:r>
          </w:p>
        </w:tc>
        <w:tc>
          <w:tcPr>
            <w:tcW w:w="104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1988/01</w:t>
            </w:r>
          </w:p>
        </w:tc>
        <w:tc>
          <w:tcPr>
            <w:tcW w:w="1016"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高级工程师</w:t>
            </w:r>
          </w:p>
        </w:tc>
        <w:tc>
          <w:tcPr>
            <w:tcW w:w="1061"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硕士</w:t>
            </w:r>
          </w:p>
        </w:tc>
        <w:tc>
          <w:tcPr>
            <w:tcW w:w="146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山西蓝焰煤层气集团有限责任公司</w:t>
            </w:r>
          </w:p>
        </w:tc>
        <w:tc>
          <w:tcPr>
            <w:tcW w:w="242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项目改造方案设计，数据收集与整理、成果凝练等工作。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6</w:t>
            </w:r>
          </w:p>
        </w:tc>
        <w:tc>
          <w:tcPr>
            <w:tcW w:w="86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李军军</w:t>
            </w:r>
          </w:p>
        </w:tc>
        <w:tc>
          <w:tcPr>
            <w:tcW w:w="60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男</w:t>
            </w:r>
          </w:p>
        </w:tc>
        <w:tc>
          <w:tcPr>
            <w:tcW w:w="104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1984/12</w:t>
            </w:r>
          </w:p>
        </w:tc>
        <w:tc>
          <w:tcPr>
            <w:tcW w:w="1016"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高级工程师</w:t>
            </w:r>
          </w:p>
        </w:tc>
        <w:tc>
          <w:tcPr>
            <w:tcW w:w="1061"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硕士</w:t>
            </w:r>
          </w:p>
        </w:tc>
        <w:tc>
          <w:tcPr>
            <w:tcW w:w="1467"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晋能控股装备制造集团有限公司</w:t>
            </w:r>
          </w:p>
        </w:tc>
        <w:tc>
          <w:tcPr>
            <w:tcW w:w="242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rPr>
              <w:t>负责项目方案编制、验收鉴定。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7</w:t>
            </w:r>
          </w:p>
        </w:tc>
        <w:tc>
          <w:tcPr>
            <w:tcW w:w="865" w:type="dxa"/>
            <w:shd w:val="clear" w:color="auto" w:fill="auto"/>
            <w:vAlign w:val="center"/>
          </w:tcPr>
          <w:p>
            <w:pPr>
              <w:adjustRightInd w:val="0"/>
              <w:snapToGrid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lang w:val="en-US" w:eastAsia="zh-CN"/>
              </w:rPr>
              <w:t>时三波</w:t>
            </w:r>
          </w:p>
        </w:tc>
        <w:tc>
          <w:tcPr>
            <w:tcW w:w="605" w:type="dxa"/>
            <w:shd w:val="clear" w:color="auto" w:fill="auto"/>
            <w:vAlign w:val="center"/>
          </w:tcPr>
          <w:p>
            <w:pPr>
              <w:adjustRightInd w:val="0"/>
              <w:snapToGrid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男</w:t>
            </w:r>
          </w:p>
        </w:tc>
        <w:tc>
          <w:tcPr>
            <w:tcW w:w="1047" w:type="dxa"/>
            <w:shd w:val="clear" w:color="auto" w:fill="auto"/>
            <w:vAlign w:val="center"/>
          </w:tcPr>
          <w:p>
            <w:pPr>
              <w:adjustRightInd w:val="0"/>
              <w:snapToGrid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198</w:t>
            </w:r>
            <w:r>
              <w:rPr>
                <w:rFonts w:hint="eastAsia" w:asciiTheme="minorEastAsia" w:hAnsiTheme="minorEastAsia" w:eastAsiaTheme="minorEastAsia" w:cstheme="minorEastAsia"/>
                <w:sz w:val="21"/>
                <w:szCs w:val="21"/>
                <w:lang w:val="en-US" w:eastAsia="zh-CN"/>
              </w:rPr>
              <w:t>8</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12</w:t>
            </w:r>
          </w:p>
        </w:tc>
        <w:tc>
          <w:tcPr>
            <w:tcW w:w="1016" w:type="dxa"/>
            <w:shd w:val="clear" w:color="auto" w:fill="auto"/>
            <w:vAlign w:val="center"/>
          </w:tcPr>
          <w:p>
            <w:pPr>
              <w:adjustRightInd w:val="0"/>
              <w:snapToGrid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工程师</w:t>
            </w:r>
          </w:p>
        </w:tc>
        <w:tc>
          <w:tcPr>
            <w:tcW w:w="1061" w:type="dxa"/>
            <w:shd w:val="clear" w:color="auto" w:fill="auto"/>
            <w:vAlign w:val="center"/>
          </w:tcPr>
          <w:p>
            <w:pPr>
              <w:adjustRightInd w:val="0"/>
              <w:snapToGrid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lang w:val="en-US" w:eastAsia="zh-CN"/>
              </w:rPr>
              <w:t>学士</w:t>
            </w:r>
          </w:p>
        </w:tc>
        <w:tc>
          <w:tcPr>
            <w:tcW w:w="1467" w:type="dxa"/>
            <w:shd w:val="clear" w:color="auto" w:fill="auto"/>
            <w:vAlign w:val="center"/>
          </w:tcPr>
          <w:p>
            <w:pPr>
              <w:adjustRightInd w:val="0"/>
              <w:snapToGrid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晋能控股装备制造集团有限公司</w:t>
            </w:r>
          </w:p>
        </w:tc>
        <w:tc>
          <w:tcPr>
            <w:tcW w:w="2425" w:type="dxa"/>
            <w:shd w:val="clear" w:color="auto" w:fill="auto"/>
            <w:vAlign w:val="center"/>
          </w:tcPr>
          <w:p>
            <w:pPr>
              <w:adjustRightInd w:val="0"/>
              <w:snapToGrid w:val="0"/>
              <w:jc w:val="left"/>
              <w:rPr>
                <w:rFonts w:hint="eastAsia" w:asciiTheme="minorEastAsia" w:hAnsiTheme="minorEastAsia" w:eastAsiaTheme="minorEastAsia" w:cstheme="minorEastAsia"/>
                <w:kern w:val="2"/>
                <w:sz w:val="21"/>
                <w:szCs w:val="21"/>
                <w:vertAlign w:val="baseline"/>
                <w:lang w:val="en-US" w:eastAsia="zh-CN" w:bidi="ar-SA"/>
              </w:rPr>
            </w:pPr>
            <w:r>
              <w:rPr>
                <w:rFonts w:hint="eastAsia" w:asciiTheme="minorEastAsia" w:hAnsiTheme="minorEastAsia" w:eastAsiaTheme="minorEastAsia" w:cstheme="minorEastAsia"/>
                <w:sz w:val="21"/>
                <w:szCs w:val="21"/>
              </w:rPr>
              <w:t>负责项目立项论证、工程实施、验收鉴定。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66" w:type="dxa"/>
            <w:vAlign w:val="center"/>
          </w:tcPr>
          <w:p>
            <w:pPr>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vertAlign w:val="baseline"/>
                <w:lang w:val="en-US" w:eastAsia="zh-CN"/>
              </w:rPr>
              <w:t>8</w:t>
            </w:r>
          </w:p>
        </w:tc>
        <w:tc>
          <w:tcPr>
            <w:tcW w:w="865" w:type="dxa"/>
            <w:vAlign w:val="center"/>
          </w:tcPr>
          <w:p>
            <w:pPr>
              <w:adjustRightInd w:val="0"/>
              <w:snapToGrid w:val="0"/>
              <w:jc w:val="left"/>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eastAsiaTheme="minorEastAsia" w:cstheme="minorEastAsia"/>
                <w:sz w:val="21"/>
                <w:szCs w:val="21"/>
                <w:lang w:val="en-US" w:eastAsia="zh-CN"/>
              </w:rPr>
              <w:t>赵晋斌</w:t>
            </w:r>
          </w:p>
        </w:tc>
        <w:tc>
          <w:tcPr>
            <w:tcW w:w="605" w:type="dxa"/>
            <w:vAlign w:val="center"/>
          </w:tcPr>
          <w:p>
            <w:pPr>
              <w:adjustRightInd w:val="0"/>
              <w:snapToGrid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男</w:t>
            </w:r>
          </w:p>
        </w:tc>
        <w:tc>
          <w:tcPr>
            <w:tcW w:w="1047" w:type="dxa"/>
            <w:vAlign w:val="center"/>
          </w:tcPr>
          <w:p>
            <w:pPr>
              <w:adjustRightInd w:val="0"/>
              <w:snapToGrid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198</w:t>
            </w:r>
            <w:r>
              <w:rPr>
                <w:rFonts w:hint="eastAsia" w:asciiTheme="minorEastAsia" w:hAnsiTheme="minorEastAsia" w:eastAsiaTheme="minorEastAsia" w:cstheme="minorEastAsia"/>
                <w:sz w:val="21"/>
                <w:szCs w:val="21"/>
                <w:lang w:val="en-US" w:eastAsia="zh-CN"/>
              </w:rPr>
              <w:t>7</w:t>
            </w:r>
            <w:r>
              <w:rPr>
                <w:rFonts w:hint="eastAsia" w:asciiTheme="minorEastAsia" w:hAnsiTheme="minorEastAsia" w:eastAsiaTheme="minorEastAsia" w:cstheme="minorEastAsia"/>
                <w:sz w:val="21"/>
                <w:szCs w:val="21"/>
              </w:rPr>
              <w:t>/01</w:t>
            </w:r>
          </w:p>
        </w:tc>
        <w:tc>
          <w:tcPr>
            <w:tcW w:w="1016" w:type="dxa"/>
            <w:vAlign w:val="center"/>
          </w:tcPr>
          <w:p>
            <w:pPr>
              <w:adjustRightInd w:val="0"/>
              <w:snapToGrid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高级工程师</w:t>
            </w:r>
          </w:p>
        </w:tc>
        <w:tc>
          <w:tcPr>
            <w:tcW w:w="1061" w:type="dxa"/>
            <w:shd w:val="clear" w:color="auto" w:fill="auto"/>
            <w:vAlign w:val="center"/>
          </w:tcPr>
          <w:p>
            <w:pPr>
              <w:adjustRightInd w:val="0"/>
              <w:snapToGrid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硕士</w:t>
            </w:r>
          </w:p>
        </w:tc>
        <w:tc>
          <w:tcPr>
            <w:tcW w:w="1467" w:type="dxa"/>
            <w:shd w:val="clear" w:color="auto" w:fill="auto"/>
            <w:vAlign w:val="center"/>
          </w:tcPr>
          <w:p>
            <w:pPr>
              <w:adjustRightInd w:val="0"/>
              <w:snapToGrid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晋能控股装备制造集团有限公司</w:t>
            </w:r>
          </w:p>
        </w:tc>
        <w:tc>
          <w:tcPr>
            <w:tcW w:w="2425" w:type="dxa"/>
            <w:vAlign w:val="center"/>
          </w:tcPr>
          <w:p>
            <w:pPr>
              <w:adjustRightInd w:val="0"/>
              <w:snapToGrid w:val="0"/>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负责项目方案编制、成果总结</w:t>
            </w:r>
            <w:r>
              <w:rPr>
                <w:rFonts w:hint="eastAsia" w:asciiTheme="minorEastAsia" w:hAnsiTheme="minorEastAsia" w:eastAsiaTheme="minorEastAsia" w:cstheme="minorEastAsia"/>
                <w:sz w:val="21"/>
                <w:szCs w:val="21"/>
              </w:rPr>
              <w:t>。</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157" w:afterLines="50" w:afterAutospacing="0" w:line="560" w:lineRule="exact"/>
        <w:ind w:right="0" w:rightChars="0"/>
        <w:jc w:val="both"/>
        <w:textAlignment w:val="auto"/>
        <w:rPr>
          <w:rFonts w:hint="eastAsia" w:ascii="方正楷体_GBK" w:hAnsi="方正楷体_GBK" w:eastAsia="方正楷体_GBK" w:cs="方正楷体_GBK"/>
          <w:b/>
          <w:color w:val="auto"/>
          <w:sz w:val="32"/>
          <w:szCs w:val="32"/>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主要完成单位及创新推广贡献</w:t>
      </w:r>
    </w:p>
    <w:tbl>
      <w:tblPr>
        <w:tblStyle w:val="9"/>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260"/>
        <w:gridCol w:w="5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序号</w:t>
            </w:r>
          </w:p>
        </w:tc>
        <w:tc>
          <w:tcPr>
            <w:tcW w:w="226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单位名称</w:t>
            </w:r>
          </w:p>
        </w:tc>
        <w:tc>
          <w:tcPr>
            <w:tcW w:w="599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创新推广贡献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2"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1</w:t>
            </w:r>
          </w:p>
        </w:tc>
        <w:tc>
          <w:tcPr>
            <w:tcW w:w="2260" w:type="dxa"/>
            <w:vAlign w:val="center"/>
          </w:tcPr>
          <w:p>
            <w:pPr>
              <w:spacing w:line="280" w:lineRule="exact"/>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晋能控股装备制造集团有限公司</w:t>
            </w:r>
          </w:p>
        </w:tc>
        <w:tc>
          <w:tcPr>
            <w:tcW w:w="5996" w:type="dxa"/>
            <w:vAlign w:val="center"/>
          </w:tcPr>
          <w:p>
            <w:pPr>
              <w:spacing w:line="280" w:lineRule="exact"/>
              <w:jc w:val="both"/>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项目总体规划，人员组织，项目执行过程的顺利实施与推进，成果凝练、总结与评价等工作。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2</w:t>
            </w:r>
          </w:p>
        </w:tc>
        <w:tc>
          <w:tcPr>
            <w:tcW w:w="2260" w:type="dxa"/>
            <w:vAlign w:val="center"/>
          </w:tcPr>
          <w:p>
            <w:pPr>
              <w:spacing w:line="280" w:lineRule="exact"/>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山西蓝焰煤层气集团有限责任公司</w:t>
            </w:r>
          </w:p>
        </w:tc>
        <w:tc>
          <w:tcPr>
            <w:tcW w:w="5996" w:type="dxa"/>
            <w:vAlign w:val="center"/>
          </w:tcPr>
          <w:p>
            <w:pPr>
              <w:spacing w:line="280" w:lineRule="exact"/>
              <w:jc w:val="both"/>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主要开展了项目的现场工程示范，对示范效果进行评价总结，并进行推广。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850" w:type="dxa"/>
            <w:vAlign w:val="center"/>
          </w:tcPr>
          <w:p>
            <w:pPr>
              <w:spacing w:line="280" w:lineRule="exact"/>
              <w:jc w:val="center"/>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sz w:val="24"/>
                <w:szCs w:val="24"/>
                <w:lang w:val="en-US" w:eastAsia="zh-CN"/>
              </w:rPr>
              <w:t>3</w:t>
            </w:r>
          </w:p>
        </w:tc>
        <w:tc>
          <w:tcPr>
            <w:tcW w:w="2260" w:type="dxa"/>
            <w:vAlign w:val="center"/>
          </w:tcPr>
          <w:p>
            <w:pPr>
              <w:spacing w:line="280" w:lineRule="exact"/>
              <w:jc w:val="center"/>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易安蓝焰煤与煤层气共采技术有限责任公司</w:t>
            </w:r>
          </w:p>
        </w:tc>
        <w:tc>
          <w:tcPr>
            <w:tcW w:w="5996" w:type="dxa"/>
            <w:vAlign w:val="center"/>
          </w:tcPr>
          <w:p>
            <w:pPr>
              <w:spacing w:line="280" w:lineRule="exact"/>
              <w:jc w:val="both"/>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主要完成了项目研究方案的设计，协助山西蓝焰煤层气集团有限责任公司组织开展工程示范与推广。</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color w:val="auto"/>
          <w:sz w:val="32"/>
          <w:szCs w:val="32"/>
          <w:lang w:eastAsia="zh-CN"/>
        </w:rPr>
        <w:t>　　</w:t>
      </w:r>
      <w:r>
        <w:rPr>
          <w:rFonts w:hint="eastAsia" w:ascii="方正楷体_GBK" w:hAnsi="方正楷体_GBK" w:eastAsia="方正楷体_GBK" w:cs="方正楷体_GBK"/>
          <w:b/>
          <w:color w:val="auto"/>
          <w:sz w:val="32"/>
          <w:szCs w:val="32"/>
        </w:rPr>
        <w:t>完成人合作关系说明</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楷体_GBK" w:hAnsi="方正楷体_GBK" w:eastAsia="方正楷体_GBK" w:cs="方正楷体_GBK"/>
          <w:sz w:val="32"/>
          <w:szCs w:val="32"/>
        </w:rPr>
      </w:pPr>
      <w:r>
        <w:rPr>
          <w:rFonts w:hint="eastAsia" w:ascii="仿宋" w:hAnsi="仿宋" w:eastAsia="仿宋"/>
          <w:sz w:val="28"/>
          <w:szCs w:val="28"/>
          <w:lang w:val="en-US" w:eastAsia="zh-CN"/>
        </w:rPr>
        <w:t>　　</w:t>
      </w:r>
      <w:r>
        <w:rPr>
          <w:rFonts w:hint="eastAsia" w:ascii="仿宋" w:hAnsi="仿宋" w:eastAsia="仿宋"/>
          <w:sz w:val="32"/>
          <w:szCs w:val="32"/>
          <w:lang w:val="en-US" w:eastAsia="zh-CN"/>
        </w:rPr>
        <w:t>该项目由</w:t>
      </w:r>
      <w:r>
        <w:rPr>
          <w:rFonts w:hint="eastAsia" w:ascii="仿宋" w:hAnsi="仿宋" w:eastAsia="仿宋"/>
          <w:sz w:val="32"/>
          <w:szCs w:val="32"/>
        </w:rPr>
        <w:t>完成人季长江，鲁博，张江华，郭盛强，信凯，李军军，时三波，</w:t>
      </w:r>
      <w:r>
        <w:rPr>
          <w:rFonts w:hint="eastAsia" w:ascii="仿宋" w:hAnsi="仿宋" w:eastAsia="仿宋"/>
          <w:sz w:val="32"/>
          <w:szCs w:val="32"/>
          <w:lang w:val="en-US" w:eastAsia="zh-CN"/>
        </w:rPr>
        <w:t>赵晋斌共同合作完成。完成单位</w:t>
      </w:r>
      <w:r>
        <w:rPr>
          <w:rFonts w:hint="eastAsia" w:ascii="仿宋" w:hAnsi="仿宋" w:eastAsia="仿宋"/>
          <w:sz w:val="32"/>
          <w:szCs w:val="32"/>
        </w:rPr>
        <w:t>为晋能控股装备制造集团有限公司、山西蓝焰控股股份有限公司、易安蓝焰煤与煤层气共采技术有限责任公司分工协作，联合申报发明专利、合著学术论文。取得了鉴定证书，并获得了国家授权专利4项，发表论文6篇。在专利、论文等成果的基础上，进行评奖申报。</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
          <w:bCs w:val="0"/>
          <w:kern w:val="2"/>
          <w:sz w:val="32"/>
          <w:szCs w:val="32"/>
          <w:lang w:val="en-US" w:eastAsia="zh-CN" w:bidi="ar-SA"/>
        </w:rPr>
        <w:t>　　三、项目名称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
          <w:bCs w:val="0"/>
          <w:kern w:val="2"/>
          <w:sz w:val="84"/>
          <w:szCs w:val="84"/>
          <w:lang w:val="en-US" w:eastAsia="zh-CN" w:bidi="ar-SA"/>
        </w:rPr>
      </w:pPr>
      <w:r>
        <w:rPr>
          <w:rFonts w:hint="eastAsia" w:ascii="方正楷体_GBK" w:hAnsi="方正楷体_GBK" w:eastAsia="方正楷体_GBK" w:cs="方正楷体_GBK"/>
          <w:b/>
          <w:bCs w:val="0"/>
          <w:kern w:val="2"/>
          <w:sz w:val="32"/>
          <w:szCs w:val="32"/>
          <w:lang w:val="en-US" w:eastAsia="zh-CN" w:bidi="ar-SA"/>
        </w:rPr>
        <w:t>　　</w:t>
      </w:r>
      <w:r>
        <w:rPr>
          <w:rFonts w:hint="eastAsia" w:ascii="方正仿宋_GBK" w:hAnsi="方正仿宋_GBK" w:eastAsia="方正仿宋_GBK" w:cs="方正仿宋_GBK"/>
          <w:sz w:val="32"/>
          <w:szCs w:val="32"/>
        </w:rPr>
        <w:t>煤层瓦斯高效智能抽采关键技术创新与应用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晋城市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提名单位意见</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bCs w:val="0"/>
          <w:kern w:val="2"/>
          <w:sz w:val="32"/>
          <w:szCs w:val="32"/>
          <w:lang w:val="en-US" w:eastAsia="zh-CN" w:bidi="ar-SA"/>
        </w:rPr>
      </w:pPr>
      <w:r>
        <w:rPr>
          <w:rFonts w:hint="eastAsia" w:ascii="方正仿宋_GBK" w:hAnsi="方正仿宋_GBK" w:eastAsia="方正仿宋_GBK" w:cs="方正仿宋_GBK"/>
          <w:color w:val="000000"/>
          <w:sz w:val="32"/>
          <w:szCs w:val="32"/>
          <w:lang w:eastAsia="zh-CN"/>
        </w:rPr>
        <w:t>拟</w:t>
      </w:r>
      <w:r>
        <w:rPr>
          <w:rFonts w:hint="eastAsia" w:ascii="方正仿宋_GBK" w:hAnsi="方正仿宋_GBK" w:eastAsia="方正仿宋_GBK" w:cs="方正仿宋_GBK"/>
          <w:color w:val="000000"/>
          <w:sz w:val="32"/>
          <w:szCs w:val="32"/>
        </w:rPr>
        <w:t>提名参加山西省</w:t>
      </w:r>
      <w:r>
        <w:rPr>
          <w:rFonts w:hint="eastAsia" w:ascii="方正仿宋_GBK" w:hAnsi="方正仿宋_GBK" w:eastAsia="方正仿宋_GBK" w:cs="方正仿宋_GBK"/>
          <w:sz w:val="32"/>
          <w:szCs w:val="32"/>
        </w:rPr>
        <w:t>科技进步</w:t>
      </w: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等奖</w:t>
      </w:r>
      <w:r>
        <w:rPr>
          <w:rFonts w:hint="eastAsia" w:ascii="方正仿宋_GBK" w:hAnsi="方正仿宋_GBK" w:eastAsia="方正仿宋_GBK" w:cs="方正仿宋_GBK"/>
          <w:color w:val="000000"/>
          <w:sz w:val="32"/>
          <w:szCs w:val="32"/>
        </w:rPr>
        <w:t>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val="0"/>
          <w:bCs w:val="0"/>
          <w:i w:val="0"/>
          <w:iCs w:val="0"/>
          <w:caps w:val="0"/>
          <w:spacing w:val="0"/>
          <w:sz w:val="32"/>
          <w:szCs w:val="32"/>
          <w:highlight w:val="none"/>
          <w:shd w:val="clear" w:color="auto" w:fill="FFFFFF"/>
          <w:lang w:val="en-US" w:eastAsia="zh-CN"/>
        </w:rPr>
      </w:pPr>
      <w:r>
        <w:rPr>
          <w:rFonts w:hint="eastAsia" w:ascii="方正楷体_GBK" w:hAnsi="方正楷体_GBK" w:eastAsia="方正楷体_GBK" w:cs="方正楷体_GBK"/>
          <w:b/>
          <w:bCs w:val="0"/>
          <w:kern w:val="2"/>
          <w:sz w:val="32"/>
          <w:szCs w:val="32"/>
          <w:lang w:val="en-US" w:eastAsia="zh-CN" w:bidi="ar-SA"/>
        </w:rPr>
        <w:t>项目简介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该</w:t>
      </w:r>
      <w:r>
        <w:rPr>
          <w:rFonts w:hint="eastAsia" w:ascii="方正仿宋_GBK" w:hAnsi="方正仿宋_GBK" w:eastAsia="方正仿宋_GBK" w:cs="方正仿宋_GBK"/>
          <w:sz w:val="32"/>
          <w:szCs w:val="32"/>
        </w:rPr>
        <w:t>项目属于矿山安全科学技术领域，属技术开发类成果。项目针对低渗透煤层瓦斯抽采衰减快、抽采效率低的瓶颈问题，创新了理论方法，开发了关键装备，攻克了技术瓶颈，形成了以“瓦斯流动理论分析→封孔材料研发→煤层卸压→高效抽采技术→瓦斯抽采智能评价”为主体思路的煤层瓦斯高效智能抽采技术体系。项目的主要研究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（1）煤层瓦斯流动理论研究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实验测试煤层瓦斯流动规律，理论分析粘性流、滑脱流及扩散瓦斯气体流动的比重以及各流动机制对煤层瓦斯流动的控制作用，建立煤层瓦斯多机制流动统一理论模型，并基于理论模型数值模拟煤层瓦斯抽采效果及有效抽采范围，验证理论模型的准确性和适用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（2）煤层瓦斯抽采新技术研究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研发新型封孔材料，测试分析钻孔围岩割缝对瓦斯抽采钻孔封堵效果，建立割缝数量与瓦斯抽效果之间的联系；利用深度学习方法建立瓦斯抽采钻孔围岩裂隙识别模型，确定抽采钻孔围岩裂隙封孔范围；根据理论分析和现场考察分析结果，提出兼顾封孔和阻隔效果的煤层瓦斯新方法和新工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（3）低渗煤层卸压增透技术研究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针对低渗煤层瓦斯抽采难题，设计研发机械扩孔卸压增透装置，实现对低渗煤层的有效卸压增透；分析不同卸压范围条件下的煤层应力变化规律及对应的瓦斯抽采效果，计算确定机械卸压增透条件下的煤层瓦斯有效抽采半径，并开展现场效果考察，实现机械扩孔卸压增透促抽技术的有效应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（4）瓦斯智能抽采钻孔设计平台研发与应用研究</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利用二次开发技术，根据智能设计计算模型产出的参数信息，实现可视化制图；构建合适的钻孔三维建模方法，快速生成抽采钻孔工程设计与施工阶段的钻孔三维立体图，直观展示钻孔布置工程的空间分布及控制范围及抽采信息；提出瓦斯抽采盲区识别算法，依据现场钻孔布置实际位置信息，智能快速识别出实际布孔中的存在的空白带区域，实现对煤层瓦斯效果的智能评价。</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eastAsia" w:ascii="方正楷体_GBK" w:hAnsi="方正楷体_GBK" w:eastAsia="方正楷体_GBK" w:cs="方正楷体_GBK"/>
          <w:b w:val="0"/>
          <w:bCs w:val="0"/>
          <w:sz w:val="32"/>
          <w:szCs w:val="32"/>
          <w:highlight w:val="none"/>
          <w:lang w:eastAsia="zh-CN"/>
        </w:rPr>
      </w:pPr>
      <w:r>
        <w:rPr>
          <w:rFonts w:hint="eastAsia" w:ascii="方正仿宋_GBK" w:hAnsi="方正仿宋_GBK" w:eastAsia="方正仿宋_GBK" w:cs="方正仿宋_GBK"/>
          <w:sz w:val="32"/>
          <w:szCs w:val="32"/>
        </w:rPr>
        <w:t>项目共获得授权发明专利23项，授权计算机软件著作权3项，授权实用新型专利12项，发表学术论文70篇（SCI检索21篇，EI检索49篇），研究成果达到了国际先进水平。项目成果在各大矿区进行了推广应用，直接经济效益6.3亿余元，有效解决了煤层瓦斯抽采的技术难题，促进了科技进步，确保了煤炭开采安全生产环境，经济和社会效益显著，推广应用价值前景广阔。</w:t>
      </w:r>
    </w:p>
    <w:p>
      <w:pPr>
        <w:keepNext w:val="0"/>
        <w:keepLines w:val="0"/>
        <w:pageBreakBefore w:val="0"/>
        <w:widowControl w:val="0"/>
        <w:kinsoku/>
        <w:wordWrap/>
        <w:overflowPunct/>
        <w:topLinePunct w:val="0"/>
        <w:autoSpaceDE/>
        <w:autoSpaceDN/>
        <w:bidi w:val="0"/>
        <w:adjustRightInd/>
        <w:snapToGrid/>
        <w:spacing w:beforeAutospacing="0" w:afterAutospacing="0" w:line="530" w:lineRule="exact"/>
        <w:ind w:left="0" w:leftChars="0" w:right="0" w:rightChars="0" w:firstLine="642" w:firstLineChars="200"/>
        <w:jc w:val="both"/>
        <w:textAlignment w:val="auto"/>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客观评价</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方正楷体_GBK" w:hAnsi="方正楷体_GBK" w:eastAsia="方正楷体_GBK" w:cs="方正楷体_GBK"/>
          <w:b/>
          <w:sz w:val="32"/>
          <w:szCs w:val="32"/>
        </w:rPr>
      </w:pPr>
      <w:r>
        <w:rPr>
          <w:rFonts w:hint="eastAsia" w:ascii="方正仿宋_GBK" w:hAnsi="方正仿宋_GBK" w:eastAsia="方正仿宋_GBK" w:cs="方正仿宋_GBK"/>
          <w:sz w:val="32"/>
          <w:szCs w:val="32"/>
          <w:lang w:eastAsia="zh-CN"/>
        </w:rPr>
        <w:t>该</w:t>
      </w:r>
      <w:r>
        <w:rPr>
          <w:rFonts w:hint="eastAsia" w:ascii="方正仿宋_GBK" w:hAnsi="方正仿宋_GBK" w:eastAsia="方正仿宋_GBK" w:cs="方正仿宋_GBK"/>
          <w:sz w:val="32"/>
          <w:szCs w:val="32"/>
        </w:rPr>
        <w:t>项目经山西省科技成果转移转化促进与数据监测中心组织有关专家评价，专家组一致认为，该项目针对低渗透煤层瓦斯抽采过程中存在的衰减快、抽采效率低等关键技术难题，围绕煤层瓦斯高效抽采理论、钻孔裂隙智能识别、钻孔高效封孔及增透抽采等关键环节开展了系统研究，建立了煤层瓦斯多机制流动统一理论模型；提出了基于深度学习语义分割的巷道围岩钻孔裂隙识别技术；开发了新型封孔材料；研制了煤层机械扩孔增透设备；搭建了瓦斯抽采钻孔智能设计平台，实现了可视化制图与三维建模，形成了煤层瓦斯高效智能抽采关键技术体系。项目成果已在山西长平煤业、山西晋煤集团沁水胡底煤业有限公司、潞安环能五阳煤矿、潞安郭庄煤业等企业开展了工程应用，显著提高了低透气煤层瓦斯抽采效率，取得了良好的经济效益和社会效益，具有较好的推广应用前景。经评价，该项目相关研究成果达到了国际先进水平。</w:t>
      </w:r>
    </w:p>
    <w:p>
      <w:pPr>
        <w:keepNext w:val="0"/>
        <w:keepLines w:val="0"/>
        <w:pageBreakBefore w:val="0"/>
        <w:widowControl w:val="0"/>
        <w:kinsoku/>
        <w:wordWrap/>
        <w:overflowPunct/>
        <w:topLinePunct w:val="0"/>
        <w:autoSpaceDE/>
        <w:autoSpaceDN/>
        <w:bidi w:val="0"/>
        <w:adjustRightInd/>
        <w:snapToGrid/>
        <w:spacing w:beforeAutospacing="0" w:afterAutospacing="0" w:line="530" w:lineRule="exact"/>
        <w:ind w:left="0" w:leftChars="0" w:right="0" w:rightChars="0" w:firstLine="642" w:firstLineChars="200"/>
        <w:jc w:val="both"/>
        <w:textAlignment w:val="auto"/>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推广应用情况</w:t>
      </w:r>
    </w:p>
    <w:p>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rPr>
      </w:pPr>
      <w:r>
        <w:rPr>
          <w:rFonts w:hint="eastAsia" w:ascii="方正仿宋_GBK" w:hAnsi="方正仿宋_GBK" w:eastAsia="方正仿宋_GBK" w:cs="方正仿宋_GBK"/>
          <w:color w:val="000000" w:themeColor="text1"/>
          <w:sz w:val="32"/>
          <w:szCs w:val="32"/>
        </w:rPr>
        <w:t>项目成果在山西长平煤业、胡底煤业、潞安环能五阳煤矿、潞安郭庄煤业等企业现场应用过程中，近三年的成果总产值63588万元，利润27885万元，税收10997.64万元，经济效益明显。研究成果可以逐步应用于低透气煤层瓦斯抽采及煤层瓦斯抽采困难的突出危险性矿井或高瓦斯矿井，推广应用前景广阔。</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主要知识产权证明目录</w:t>
      </w:r>
    </w:p>
    <w:tbl>
      <w:tblPr>
        <w:tblStyle w:val="9"/>
        <w:tblW w:w="50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1500"/>
        <w:gridCol w:w="1318"/>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授权项目名称</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知识产权类型</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国（区）别</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授权号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一种深部煤层割缝压裂增透装置</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CN115749720B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一种低透气性煤层压裂增透瓦斯抽采装置</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CN115628055B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穿层钻孔封隔一体化煤层瓦斯抽采方法</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CN116537866B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一种煤岩裂隙可视化注浆装置及试验方法</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CN115266476B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低温负压煤样煤层瓦斯含量定点取样系统及取样方法</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CN110031255B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受载煤岩体CT三轴实验装样装置</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CN111965040B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水循环风循环清孔防堵方法</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CN113236130B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用于井下水力割缝的磨料搅拌装置与磨料水在线连续供水方法</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CN113731291B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基于AutoCAD平台的瓦斯抽采钻孔智能设计系统V1.0</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计算机软件著作权</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2023SR0384431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46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煤岩裂隙智能识别与提取系统V1.0</w:t>
            </w:r>
          </w:p>
        </w:tc>
        <w:tc>
          <w:tcPr>
            <w:tcW w:w="8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计算机软件著作权</w:t>
            </w:r>
          </w:p>
        </w:tc>
        <w:tc>
          <w:tcPr>
            <w:tcW w:w="726"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983" w:type="pct"/>
            <w:vAlign w:val="center"/>
          </w:tcPr>
          <w:p>
            <w:pPr>
              <w:spacing w:line="40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2024SR1570089</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主要完成人情况</w:t>
      </w:r>
    </w:p>
    <w:tbl>
      <w:tblPr>
        <w:tblStyle w:val="9"/>
        <w:tblW w:w="51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914"/>
        <w:gridCol w:w="669"/>
        <w:gridCol w:w="771"/>
        <w:gridCol w:w="933"/>
        <w:gridCol w:w="750"/>
        <w:gridCol w:w="994"/>
        <w:gridCol w:w="3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9"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排名</w:t>
            </w:r>
          </w:p>
        </w:tc>
        <w:tc>
          <w:tcPr>
            <w:tcW w:w="490"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358"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性别</w:t>
            </w:r>
          </w:p>
        </w:tc>
        <w:tc>
          <w:tcPr>
            <w:tcW w:w="413"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出生</w:t>
            </w:r>
          </w:p>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年月</w:t>
            </w:r>
          </w:p>
        </w:tc>
        <w:tc>
          <w:tcPr>
            <w:tcW w:w="500"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w:t>
            </w:r>
          </w:p>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职称</w:t>
            </w:r>
          </w:p>
        </w:tc>
        <w:tc>
          <w:tcPr>
            <w:tcW w:w="402"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文化</w:t>
            </w:r>
          </w:p>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程度</w:t>
            </w:r>
          </w:p>
        </w:tc>
        <w:tc>
          <w:tcPr>
            <w:tcW w:w="533"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工作</w:t>
            </w:r>
          </w:p>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c>
          <w:tcPr>
            <w:tcW w:w="1941"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对成果创新性贡献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line="28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王登科</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男</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1980.05</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教授</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总体负责成果总体架构、理论指导、技术路线顶层设计，牵头现场示范工程落地。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张强</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男</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1986.04</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高级工程师</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山西晋煤集团技术研究院有限责任公司</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负责煤层瓦斯抽采新技术研发工作，协助完成煤层瓦斯抽采数值模拟研究，牵头带领团队成员完成本成果的现场落地及煤层瓦斯抽采效果考察工作，负责收集煤层瓦斯现场抽采数据，并完成本成果应用的现场应用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张宏图</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男</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1988.07</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副教授</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负责煤层瓦斯流动实验测试，开展煤层瓦斯流动机理的理论分析及理论模型的有效性验证，主导煤层瓦斯多机制流动的数值模拟工作，同时协助联系相关煤矿企业完成现场煤层瓦斯抽采数据的收集与分析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王龙航</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男</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1998.11</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博士研究生</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主要负责抽采钻孔封孔效果方面的材料研发，建立抽采钻孔煤岩裂隙智能识别提取模型，开展实验测试，确定最佳合理割缝条数，准确定位围岩裂隙发育程度和封孔范围，并协助完成现场效果考察。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赵立桢</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男</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1995.09</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讲师</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负责建立瓦斯-空气流固耦合模型，构建合适的煤层瓦斯钻孔三维建模方法，实现抽采钻孔的可视化制图工作，提出煤层瓦斯抽采盲区识别算法，研发煤层瓦斯智能抽采评价系统，并对抽采效果进行实时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任海慧</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男</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1984.07</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高级工程师</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山西晋煤集团技术研究院有限责任公司</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主要负责研究机械扩孔装置破煤机理，分析机械扩孔过程破煤情况，对机械扩孔卸压技术进行现场效果考察，实现机械扩孔卸压增透促抽技术应用，并对现场增透效果进行准确评价。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夏缘帝</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女</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1996.12</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博士研究生</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主要负责煤层瓦斯流动实验，准确划分煤层瓦斯流动形式，建立煤层瓦斯多场耦合-多机制流动模型，负责煤层瓦斯流动的数值模拟分析工作，准确描述煤层瓦斯流动规律。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59"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49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卫彦昭</w:t>
            </w:r>
          </w:p>
        </w:tc>
        <w:tc>
          <w:tcPr>
            <w:tcW w:w="358"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男</w:t>
            </w:r>
          </w:p>
        </w:tc>
        <w:tc>
          <w:tcPr>
            <w:tcW w:w="413"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1993.03</w:t>
            </w:r>
          </w:p>
        </w:tc>
        <w:tc>
          <w:tcPr>
            <w:tcW w:w="500"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博士研究生</w:t>
            </w:r>
          </w:p>
        </w:tc>
        <w:tc>
          <w:tcPr>
            <w:tcW w:w="402" w:type="pct"/>
            <w:vAlign w:val="center"/>
          </w:tcPr>
          <w:p>
            <w:pPr>
              <w:spacing w:before="156" w:beforeLines="5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研究生</w:t>
            </w:r>
          </w:p>
        </w:tc>
        <w:tc>
          <w:tcPr>
            <w:tcW w:w="533"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1941" w:type="pct"/>
            <w:vAlign w:val="center"/>
          </w:tcPr>
          <w:p>
            <w:pPr>
              <w:spacing w:before="156" w:beforeLines="5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主要负责计算机械扩孔下煤层瓦斯抽采钻孔的有效抽采半径，解决瓦斯抽采钻孔漏气问题，并协助完成煤层瓦斯抽采的现场效果考察。</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color w:val="auto"/>
          <w:sz w:val="32"/>
          <w:szCs w:val="32"/>
        </w:rPr>
      </w:pPr>
      <w:r>
        <w:rPr>
          <w:rFonts w:hint="eastAsia" w:ascii="方正楷体_GBK" w:hAnsi="方正楷体_GBK" w:eastAsia="方正楷体_GBK" w:cs="方正楷体_GBK"/>
          <w:b/>
          <w:bCs/>
          <w:sz w:val="32"/>
          <w:szCs w:val="32"/>
          <w:highlight w:val="none"/>
        </w:rPr>
        <w:t>主要完成单位及创新推广贡献</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
        <w:gridCol w:w="3209"/>
        <w:gridCol w:w="4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Align w:val="center"/>
          </w:tcPr>
          <w:p>
            <w:pPr>
              <w:jc w:val="center"/>
              <w:rPr>
                <w:rFonts w:hint="eastAsia" w:ascii="宋体" w:hAnsi="宋体" w:eastAsia="宋体"/>
                <w:sz w:val="21"/>
                <w:szCs w:val="21"/>
              </w:rPr>
            </w:pPr>
            <w:r>
              <w:rPr>
                <w:rFonts w:hint="eastAsia" w:ascii="宋体" w:hAnsi="宋体" w:eastAsia="宋体"/>
                <w:sz w:val="21"/>
                <w:szCs w:val="21"/>
              </w:rPr>
              <w:t>序号</w:t>
            </w:r>
          </w:p>
        </w:tc>
        <w:tc>
          <w:tcPr>
            <w:tcW w:w="1770" w:type="pct"/>
            <w:vAlign w:val="center"/>
          </w:tcPr>
          <w:p>
            <w:pPr>
              <w:jc w:val="center"/>
              <w:rPr>
                <w:rFonts w:hint="eastAsia" w:ascii="宋体" w:hAnsi="宋体" w:eastAsia="宋体"/>
                <w:sz w:val="21"/>
                <w:szCs w:val="21"/>
              </w:rPr>
            </w:pPr>
            <w:r>
              <w:rPr>
                <w:rFonts w:hint="eastAsia" w:ascii="宋体" w:hAnsi="宋体" w:eastAsia="宋体"/>
                <w:sz w:val="21"/>
                <w:szCs w:val="21"/>
              </w:rPr>
              <w:t>单位名称</w:t>
            </w:r>
          </w:p>
        </w:tc>
        <w:tc>
          <w:tcPr>
            <w:tcW w:w="2734" w:type="pct"/>
            <w:vAlign w:val="center"/>
          </w:tcPr>
          <w:p>
            <w:pPr>
              <w:jc w:val="center"/>
              <w:rPr>
                <w:rFonts w:hint="eastAsia" w:ascii="宋体" w:hAnsi="宋体" w:eastAsia="宋体"/>
                <w:sz w:val="21"/>
                <w:szCs w:val="21"/>
              </w:rPr>
            </w:pPr>
            <w:r>
              <w:rPr>
                <w:rFonts w:hint="eastAsia" w:ascii="宋体" w:hAnsi="宋体" w:eastAsia="宋体"/>
                <w:sz w:val="21"/>
                <w:szCs w:val="21"/>
              </w:rPr>
              <w:t>创新推广贡献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1</w:t>
            </w:r>
          </w:p>
        </w:tc>
        <w:tc>
          <w:tcPr>
            <w:tcW w:w="1770"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山西晋煤集团技术研究院有限责任公司</w:t>
            </w:r>
          </w:p>
        </w:tc>
        <w:tc>
          <w:tcPr>
            <w:tcW w:w="2734" w:type="pct"/>
            <w:vAlign w:val="center"/>
          </w:tcPr>
          <w:p>
            <w:pPr>
              <w:spacing w:line="280" w:lineRule="exact"/>
              <w:jc w:val="left"/>
              <w:rPr>
                <w:rFonts w:hint="eastAsia" w:ascii="宋体" w:hAnsi="宋体" w:eastAsia="宋体"/>
                <w:sz w:val="21"/>
                <w:szCs w:val="21"/>
              </w:rPr>
            </w:pPr>
            <w:r>
              <w:rPr>
                <w:rFonts w:hint="eastAsia" w:ascii="Times New Roman" w:hAnsi="Times New Roman" w:eastAsia="宋体" w:cs="Times New Roman"/>
                <w:sz w:val="21"/>
                <w:szCs w:val="21"/>
              </w:rPr>
              <w:t>负责煤层瓦斯高效抽采技术的研发，完成了本成果的现场落地及煤层瓦斯抽采效果考察工作，并完成本成果应用的现场应用效果评价。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2</w:t>
            </w:r>
          </w:p>
        </w:tc>
        <w:tc>
          <w:tcPr>
            <w:tcW w:w="1770"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河南理工大学</w:t>
            </w:r>
          </w:p>
        </w:tc>
        <w:tc>
          <w:tcPr>
            <w:tcW w:w="2734" w:type="pct"/>
            <w:vAlign w:val="center"/>
          </w:tcPr>
          <w:p>
            <w:pPr>
              <w:spacing w:line="280" w:lineRule="exact"/>
              <w:jc w:val="left"/>
              <w:rPr>
                <w:rFonts w:hint="eastAsia" w:ascii="宋体" w:hAnsi="宋体" w:eastAsia="宋体"/>
                <w:sz w:val="21"/>
                <w:szCs w:val="21"/>
              </w:rPr>
            </w:pPr>
            <w:r>
              <w:rPr>
                <w:rFonts w:hint="eastAsia" w:ascii="Times New Roman" w:hAnsi="Times New Roman" w:eastAsia="宋体" w:cs="Times New Roman"/>
                <w:sz w:val="21"/>
                <w:szCs w:val="21"/>
              </w:rPr>
              <w:t>负责成果总体架构、理论指导、技术路线顶层设计。探究了煤层瓦斯多机制流动机理，实现了抽采钻孔的可视化制图，构建了合适的钻孔三维建模方法。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3</w:t>
            </w:r>
          </w:p>
        </w:tc>
        <w:tc>
          <w:tcPr>
            <w:tcW w:w="1770"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山西长平煤业有限责任公司</w:t>
            </w:r>
          </w:p>
        </w:tc>
        <w:tc>
          <w:tcPr>
            <w:tcW w:w="2734" w:type="pct"/>
            <w:vAlign w:val="center"/>
          </w:tcPr>
          <w:p>
            <w:pPr>
              <w:spacing w:line="280" w:lineRule="exact"/>
              <w:jc w:val="left"/>
              <w:rPr>
                <w:rFonts w:hint="eastAsia" w:ascii="宋体" w:hAnsi="宋体" w:eastAsia="宋体"/>
                <w:sz w:val="21"/>
                <w:szCs w:val="21"/>
              </w:rPr>
            </w:pPr>
            <w:r>
              <w:rPr>
                <w:rFonts w:hint="eastAsia" w:ascii="Times New Roman" w:hAnsi="Times New Roman" w:eastAsia="宋体" w:cs="Times New Roman"/>
                <w:sz w:val="21"/>
                <w:szCs w:val="21"/>
              </w:rPr>
              <w:t>负责将项目应用到矿井，并对比分析了项目成果应用期间瓦斯抽采情况，实现了对项目成果的推广应用。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94"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4</w:t>
            </w:r>
          </w:p>
        </w:tc>
        <w:tc>
          <w:tcPr>
            <w:tcW w:w="1770" w:type="pct"/>
            <w:vAlign w:val="center"/>
          </w:tcPr>
          <w:p>
            <w:pPr>
              <w:spacing w:line="280" w:lineRule="exact"/>
              <w:jc w:val="center"/>
              <w:rPr>
                <w:rFonts w:hint="eastAsia" w:ascii="宋体" w:hAnsi="宋体" w:eastAsia="宋体"/>
                <w:sz w:val="21"/>
                <w:szCs w:val="21"/>
              </w:rPr>
            </w:pPr>
            <w:r>
              <w:rPr>
                <w:rFonts w:ascii="Times New Roman" w:hAnsi="Times New Roman" w:eastAsia="宋体" w:cs="Times New Roman"/>
                <w:sz w:val="21"/>
                <w:szCs w:val="21"/>
              </w:rPr>
              <w:t>山西晋煤集团沁水胡底煤业有限公司</w:t>
            </w:r>
          </w:p>
        </w:tc>
        <w:tc>
          <w:tcPr>
            <w:tcW w:w="2734" w:type="pct"/>
            <w:vAlign w:val="center"/>
          </w:tcPr>
          <w:p>
            <w:pPr>
              <w:spacing w:line="280" w:lineRule="exact"/>
              <w:jc w:val="left"/>
              <w:rPr>
                <w:rFonts w:hint="eastAsia" w:ascii="宋体" w:hAnsi="宋体" w:eastAsia="宋体"/>
                <w:sz w:val="21"/>
                <w:szCs w:val="21"/>
              </w:rPr>
            </w:pPr>
            <w:r>
              <w:rPr>
                <w:rFonts w:hint="eastAsia" w:ascii="Times New Roman" w:hAnsi="Times New Roman" w:eastAsia="宋体" w:cs="Times New Roman"/>
                <w:sz w:val="21"/>
                <w:szCs w:val="21"/>
              </w:rPr>
              <w:t>负责将项目成果推广应用，为项目的有序展开提供了保障。</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color w:val="auto"/>
          <w:sz w:val="32"/>
          <w:szCs w:val="32"/>
          <w:lang w:eastAsia="zh-CN"/>
        </w:rPr>
        <w:t>　　</w:t>
      </w:r>
      <w:r>
        <w:rPr>
          <w:rFonts w:hint="eastAsia" w:ascii="方正楷体_GBK" w:hAnsi="方正楷体_GBK" w:eastAsia="方正楷体_GBK" w:cs="方正楷体_GBK"/>
          <w:b/>
          <w:color w:val="auto"/>
          <w:sz w:val="32"/>
          <w:szCs w:val="32"/>
        </w:rPr>
        <w:t>完成人合作关系说明</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第一完成人王登科为总负责人，负责项目顶层设计、任务分工与人员调配，制定项目实施的技术路线。张强负责制定方案和组织落实工作，同时部分负责瓦斯高效抽采技术研发及煤层瓦斯抽采效果考察工作。张宏图负责实验方案制定和测试数据分析工作，开展煤层瓦斯流动规律研究及数值模拟分析，参与完成封孔材料研发。王龙航负责抽采钻孔封孔材料研发及钻孔围岩裂隙智能识别模型的构建，确定最佳割缝条数及抽采钻孔封孔范围，参与完成现场效果考察工作。赵立桢负责理论分析部分，建立瓦斯-空气流固耦合模型，构建合适的煤层瓦斯钻孔三维建模方法，实现抽采钻孔的可视化制图工作，研发煤层瓦斯智能抽采评价平台。任海慧负责机械扩孔卸压设备研发，对机械扩孔卸压技术进行现场效果考察，实现机械扩孔卸压增透促抽技术应用。夏缘帝负责实验测试和理论分析部分，对煤层瓦斯流动机制进行合理划分，建立煤层瓦斯多场耦合-多机制流动模型，并负责完成煤层瓦斯流动的数值模拟分析工作。卫彦昭负责机械扩孔下煤层瓦斯抽采钻孔的有效抽采半径的理论计算和考察，解决瓦斯抽采钻孔漏气问题，参与完成瓦斯抽采现场效果考察和评价。</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
          <w:bCs w:val="0"/>
          <w:kern w:val="2"/>
          <w:sz w:val="32"/>
          <w:szCs w:val="32"/>
          <w:lang w:val="en-US" w:eastAsia="zh-CN" w:bidi="ar-SA"/>
        </w:rPr>
        <w:t>　　四、项目名称</w:t>
      </w:r>
    </w:p>
    <w:p>
      <w:pPr>
        <w:spacing w:line="480" w:lineRule="exact"/>
        <w:rPr>
          <w:rFonts w:hint="eastAsia" w:ascii="方正仿宋_GBK" w:hAnsi="方正仿宋_GBK" w:eastAsia="方正仿宋_GBK" w:cs="方正仿宋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　　</w:t>
      </w:r>
      <w:r>
        <w:rPr>
          <w:rStyle w:val="17"/>
          <w:rFonts w:hint="eastAsia" w:ascii="方正仿宋_GBK" w:hAnsi="方正仿宋_GBK" w:eastAsia="方正仿宋_GBK" w:cs="方正仿宋_GBK"/>
          <w:sz w:val="32"/>
          <w:szCs w:val="32"/>
        </w:rPr>
        <w:t>煤层气L型水平井排采关键技术及无杆泵总成研发应用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w:t>
      </w:r>
    </w:p>
    <w:p>
      <w:pPr>
        <w:spacing w:line="480" w:lineRule="exact"/>
        <w:rPr>
          <w:rStyle w:val="17"/>
          <w:rFonts w:hint="eastAsia" w:ascii="方正仿宋_GBK" w:hAnsi="方正仿宋_GBK" w:eastAsia="方正仿宋_GBK" w:cs="方正仿宋_GBK"/>
          <w:sz w:val="32"/>
          <w:szCs w:val="32"/>
        </w:rPr>
      </w:pPr>
      <w:r>
        <w:rPr>
          <w:rStyle w:val="17"/>
          <w:rFonts w:hint="eastAsia" w:ascii="方正仿宋_GBK" w:hAnsi="方正仿宋_GBK" w:eastAsia="方正仿宋_GBK" w:cs="方正仿宋_GBK"/>
          <w:sz w:val="32"/>
          <w:szCs w:val="32"/>
          <w:lang w:eastAsia="zh-CN"/>
        </w:rPr>
        <w:t>　　</w:t>
      </w:r>
      <w:r>
        <w:rPr>
          <w:rStyle w:val="17"/>
          <w:rFonts w:hint="eastAsia" w:ascii="方正仿宋_GBK" w:hAnsi="方正仿宋_GBK" w:eastAsia="方正仿宋_GBK" w:cs="方正仿宋_GBK"/>
          <w:sz w:val="32"/>
          <w:szCs w:val="32"/>
        </w:rPr>
        <w:t>晋城市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提名单位意见</w:t>
      </w:r>
    </w:p>
    <w:p>
      <w:pPr>
        <w:spacing w:line="480" w:lineRule="exact"/>
        <w:rPr>
          <w:rStyle w:val="17"/>
          <w:rFonts w:hint="eastAsia" w:ascii="方正仿宋_GBK" w:hAnsi="方正仿宋_GBK" w:eastAsia="方正仿宋_GBK" w:cs="方正仿宋_GBK"/>
          <w:sz w:val="32"/>
          <w:szCs w:val="32"/>
          <w:lang w:val="en-US" w:eastAsia="zh-CN"/>
        </w:rPr>
      </w:pPr>
      <w:r>
        <w:rPr>
          <w:rStyle w:val="17"/>
          <w:rFonts w:hint="eastAsia" w:ascii="方正仿宋_GBK" w:hAnsi="方正仿宋_GBK" w:eastAsia="方正仿宋_GBK" w:cs="方正仿宋_GBK"/>
          <w:sz w:val="32"/>
          <w:szCs w:val="32"/>
          <w:lang w:eastAsia="zh-CN"/>
        </w:rPr>
        <w:t>　　拟</w:t>
      </w:r>
      <w:r>
        <w:rPr>
          <w:rStyle w:val="17"/>
          <w:rFonts w:hint="eastAsia" w:ascii="方正仿宋_GBK" w:hAnsi="方正仿宋_GBK" w:eastAsia="方正仿宋_GBK" w:cs="方正仿宋_GBK"/>
          <w:sz w:val="32"/>
          <w:szCs w:val="32"/>
        </w:rPr>
        <w:t>提名参加山西省科技进步</w:t>
      </w:r>
      <w:r>
        <w:rPr>
          <w:rStyle w:val="17"/>
          <w:rFonts w:hint="eastAsia" w:ascii="方正仿宋_GBK" w:hAnsi="方正仿宋_GBK" w:eastAsia="方正仿宋_GBK" w:cs="方正仿宋_GBK"/>
          <w:sz w:val="32"/>
          <w:szCs w:val="32"/>
          <w:lang w:eastAsia="zh-CN"/>
        </w:rPr>
        <w:t>二</w:t>
      </w:r>
      <w:r>
        <w:rPr>
          <w:rStyle w:val="17"/>
          <w:rFonts w:hint="eastAsia" w:ascii="方正仿宋_GBK" w:hAnsi="方正仿宋_GBK" w:eastAsia="方正仿宋_GBK" w:cs="方正仿宋_GBK"/>
          <w:sz w:val="32"/>
          <w:szCs w:val="32"/>
        </w:rPr>
        <w:t>等奖评审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val="0"/>
          <w:bCs w:val="0"/>
          <w:i w:val="0"/>
          <w:iCs w:val="0"/>
          <w:caps w:val="0"/>
          <w:spacing w:val="0"/>
          <w:sz w:val="32"/>
          <w:szCs w:val="32"/>
          <w:highlight w:val="none"/>
          <w:shd w:val="clear" w:color="auto" w:fill="FFFFFF"/>
          <w:lang w:val="en-US" w:eastAsia="zh-CN"/>
        </w:rPr>
      </w:pPr>
      <w:r>
        <w:rPr>
          <w:rFonts w:hint="eastAsia" w:ascii="方正楷体_GBK" w:hAnsi="方正楷体_GBK" w:eastAsia="方正楷体_GBK" w:cs="方正楷体_GBK"/>
          <w:b/>
          <w:bCs w:val="0"/>
          <w:kern w:val="2"/>
          <w:sz w:val="32"/>
          <w:szCs w:val="32"/>
          <w:lang w:val="en-US" w:eastAsia="zh-CN" w:bidi="ar-SA"/>
        </w:rPr>
        <w:t>项目简介</w:t>
      </w:r>
    </w:p>
    <w:p>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该</w:t>
      </w:r>
      <w:r>
        <w:rPr>
          <w:rFonts w:hint="eastAsia" w:ascii="方正仿宋_GBK" w:hAnsi="方正仿宋_GBK" w:eastAsia="方正仿宋_GBK" w:cs="方正仿宋_GBK"/>
          <w:sz w:val="32"/>
          <w:szCs w:val="32"/>
        </w:rPr>
        <w:t>项目所属技术领域</w:t>
      </w:r>
      <w:r>
        <w:rPr>
          <w:rFonts w:hint="eastAsia" w:ascii="方正仿宋_GBK" w:hAnsi="方正仿宋_GBK" w:eastAsia="方正仿宋_GBK" w:cs="方正仿宋_GBK"/>
          <w:sz w:val="32"/>
          <w:szCs w:val="32"/>
          <w:lang w:val="en-US" w:eastAsia="zh-CN"/>
        </w:rPr>
        <w:t>为</w:t>
      </w:r>
      <w:r>
        <w:rPr>
          <w:rFonts w:hint="eastAsia" w:ascii="方正仿宋_GBK" w:hAnsi="方正仿宋_GBK" w:eastAsia="方正仿宋_GBK" w:cs="方正仿宋_GBK"/>
          <w:sz w:val="32"/>
          <w:szCs w:val="32"/>
        </w:rPr>
        <w:t>油气田井开发工程</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具体</w:t>
      </w:r>
      <w:r>
        <w:rPr>
          <w:rFonts w:hint="eastAsia" w:ascii="方正仿宋_GBK" w:hAnsi="方正仿宋_GBK" w:eastAsia="方正仿宋_GBK" w:cs="方正仿宋_GBK"/>
          <w:sz w:val="32"/>
          <w:szCs w:val="32"/>
        </w:rPr>
        <w:t>研究</w:t>
      </w:r>
      <w:r>
        <w:rPr>
          <w:rFonts w:hint="eastAsia" w:ascii="方正仿宋_GBK" w:hAnsi="方正仿宋_GBK" w:eastAsia="方正仿宋_GBK" w:cs="方正仿宋_GBK"/>
          <w:sz w:val="32"/>
          <w:szCs w:val="32"/>
          <w:lang w:val="en-US" w:eastAsia="zh-CN"/>
        </w:rPr>
        <w:t>领域为</w:t>
      </w:r>
      <w:r>
        <w:rPr>
          <w:rFonts w:hint="eastAsia" w:ascii="方正仿宋_GBK" w:hAnsi="方正仿宋_GBK" w:eastAsia="方正仿宋_GBK" w:cs="方正仿宋_GBK"/>
          <w:sz w:val="32"/>
          <w:szCs w:val="32"/>
        </w:rPr>
        <w:t>高煤阶煤层气田开发领域，也可延伸至其他煤阶的煤层气田推广借鉴。</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主要研究内容：</w:t>
      </w:r>
      <w:r>
        <w:rPr>
          <w:rFonts w:hint="eastAsia" w:ascii="方正仿宋_GBK" w:hAnsi="方正仿宋_GBK" w:eastAsia="方正仿宋_GBK" w:cs="方正仿宋_GBK"/>
          <w:sz w:val="32"/>
          <w:szCs w:val="32"/>
        </w:rPr>
        <w:t>项目以沁水盆地南部中浅层L型水平井为研究对象，针对上述三大问题开展产学研联合攻关。</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是通过对水平井筒内三相流运移规律研究，建立泵挂安全空间，提出分级下泵思路，设计双稳斜段水平井眼轨迹，形成煤层气L型水平井防粉控压无杆泵排采技术，有效削弱无沉砂口袋导致的固体颗粒卡堵排采泵的不良影响。</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二是基于水力驱动方式与体积泵结构融合，发明了多姿态无杆泵总成，为煤层气排采研发新泵型，改进了水力射流泵泵芯等关键结构，解决了L型井大曲率井段排采的难题。</w:t>
      </w:r>
    </w:p>
    <w:p>
      <w:pPr>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方正仿宋_GBK" w:hAnsi="方正仿宋_GBK" w:eastAsia="方正仿宋_GBK" w:cs="方正仿宋_GBK"/>
          <w:color w:val="000000"/>
          <w:sz w:val="32"/>
          <w:szCs w:val="32"/>
        </w:rPr>
      </w:pPr>
      <w:r>
        <w:rPr>
          <w:rFonts w:hint="eastAsia" w:ascii="方正仿宋_GBK" w:hAnsi="方正仿宋_GBK" w:eastAsia="方正仿宋_GBK" w:cs="方正仿宋_GBK"/>
          <w:sz w:val="32"/>
          <w:szCs w:val="32"/>
        </w:rPr>
        <w:t>三是通过对固体颗粒系统分析，将治理思路从“单一工具”转为“系统治理”，创新煤粉浓度定量监测和排采管柱结构，形成L型井气、固防控系统，解决传统工具在水平井筒中不适用问题。</w:t>
      </w:r>
    </w:p>
    <w:p>
      <w:pPr>
        <w:keepNext w:val="0"/>
        <w:keepLines w:val="0"/>
        <w:pageBreakBefore w:val="0"/>
        <w:widowControl w:val="0"/>
        <w:kinsoku/>
        <w:wordWrap/>
        <w:overflowPunct/>
        <w:topLinePunct w:val="0"/>
        <w:bidi w:val="0"/>
        <w:snapToGrid/>
        <w:spacing w:beforeAutospacing="0" w:afterAutospacing="0" w:line="560" w:lineRule="exact"/>
        <w:ind w:left="0" w:leftChars="0" w:right="0" w:rightChars="0" w:firstLine="642" w:firstLineChars="200"/>
        <w:jc w:val="both"/>
        <w:textAlignment w:val="auto"/>
        <w:rPr>
          <w:rFonts w:hint="eastAsia" w:ascii="方正仿宋_GBK" w:hAnsi="方正仿宋_GBK" w:eastAsia="方正仿宋_GBK" w:cs="方正仿宋_GBK"/>
          <w:b w:val="0"/>
          <w:bCs w:val="0"/>
          <w:sz w:val="32"/>
          <w:szCs w:val="32"/>
          <w:highlight w:val="none"/>
          <w:lang w:eastAsia="zh-CN"/>
        </w:rPr>
      </w:pPr>
      <w:r>
        <w:rPr>
          <w:rFonts w:hint="eastAsia" w:ascii="方正仿宋_GBK" w:hAnsi="方正仿宋_GBK" w:eastAsia="方正仿宋_GBK" w:cs="方正仿宋_GBK"/>
          <w:b/>
          <w:sz w:val="32"/>
          <w:szCs w:val="32"/>
        </w:rPr>
        <w:t>技术经济指标：</w:t>
      </w:r>
      <w:r>
        <w:rPr>
          <w:rFonts w:hint="eastAsia" w:ascii="方正仿宋_GBK" w:hAnsi="方正仿宋_GBK" w:eastAsia="方正仿宋_GBK" w:cs="方正仿宋_GBK"/>
          <w:b w:val="0"/>
          <w:bCs/>
          <w:sz w:val="32"/>
          <w:szCs w:val="32"/>
          <w:lang w:val="en-US" w:eastAsia="zh-CN"/>
        </w:rPr>
        <w:t>项目实施以来</w:t>
      </w:r>
      <w:r>
        <w:rPr>
          <w:rFonts w:hint="eastAsia" w:ascii="方正仿宋_GBK" w:hAnsi="方正仿宋_GBK" w:eastAsia="方正仿宋_GBK" w:cs="方正仿宋_GBK"/>
          <w:b w:val="0"/>
          <w:bCs/>
          <w:sz w:val="32"/>
          <w:szCs w:val="32"/>
        </w:rPr>
        <w:t>井筒稳定性较常规L型井提升30%以上，</w:t>
      </w:r>
      <w:r>
        <w:rPr>
          <w:rFonts w:hint="eastAsia" w:ascii="方正仿宋_GBK" w:hAnsi="方正仿宋_GBK" w:eastAsia="方正仿宋_GBK" w:cs="方正仿宋_GBK"/>
          <w:b w:val="0"/>
          <w:bCs/>
          <w:sz w:val="32"/>
          <w:szCs w:val="32"/>
          <w:lang w:val="en-US" w:eastAsia="zh-CN"/>
        </w:rPr>
        <w:t>水平井</w:t>
      </w:r>
      <w:r>
        <w:rPr>
          <w:rFonts w:hint="eastAsia" w:ascii="方正仿宋_GBK" w:hAnsi="方正仿宋_GBK" w:eastAsia="方正仿宋_GBK" w:cs="方正仿宋_GBK"/>
          <w:b w:val="0"/>
          <w:bCs/>
          <w:sz w:val="32"/>
          <w:szCs w:val="32"/>
        </w:rPr>
        <w:t>检泵</w:t>
      </w:r>
      <w:r>
        <w:rPr>
          <w:rFonts w:hint="eastAsia" w:ascii="方正仿宋_GBK" w:hAnsi="方正仿宋_GBK" w:eastAsia="方正仿宋_GBK" w:cs="方正仿宋_GBK"/>
          <w:sz w:val="32"/>
          <w:szCs w:val="32"/>
        </w:rPr>
        <w:t>周期从200天延长至800天，维保成本降低13%；射流泵防卡工艺使反洗周期从7天延长至30天，单井年均解卡作业次数由2–3次降至0–1次；</w:t>
      </w:r>
      <w:r>
        <w:rPr>
          <w:rFonts w:hint="eastAsia" w:ascii="方正仿宋_GBK" w:hAnsi="方正仿宋_GBK" w:eastAsia="方正仿宋_GBK" w:cs="方正仿宋_GBK"/>
          <w:sz w:val="32"/>
          <w:szCs w:val="32"/>
          <w:lang w:val="en-US" w:eastAsia="zh-CN"/>
        </w:rPr>
        <w:t>电潜泵满足扬程1500–2000米、最大排量60立方米/天的中深部煤层开发需求，各举升工艺生产运行指标持续向好。</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客观评价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color w:val="000000"/>
          <w:sz w:val="32"/>
          <w:szCs w:val="32"/>
        </w:rPr>
        <w:t>经国家一级查新机构查新，创新成果在国内外文献中未见相同报道。经煤层气知名专家鉴定，项目研究成果整体技术达到国际</w:t>
      </w:r>
      <w:r>
        <w:rPr>
          <w:rFonts w:hint="eastAsia" w:ascii="方正仿宋_GBK" w:hAnsi="方正仿宋_GBK" w:eastAsia="方正仿宋_GBK" w:cs="方正仿宋_GBK"/>
          <w:color w:val="000000"/>
          <w:sz w:val="32"/>
          <w:szCs w:val="32"/>
          <w:lang w:val="en-US" w:eastAsia="zh-CN"/>
        </w:rPr>
        <w:t>先进</w:t>
      </w:r>
      <w:r>
        <w:rPr>
          <w:rFonts w:hint="eastAsia" w:ascii="方正仿宋_GBK" w:hAnsi="方正仿宋_GBK" w:eastAsia="方正仿宋_GBK" w:cs="方正仿宋_GBK"/>
          <w:color w:val="000000"/>
          <w:sz w:val="32"/>
          <w:szCs w:val="32"/>
        </w:rPr>
        <w:t>水平。</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推广应用情况</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rPr>
      </w:pPr>
      <w:r>
        <w:rPr>
          <w:rFonts w:hint="eastAsia" w:ascii="方正仿宋_GBK" w:hAnsi="方正仿宋_GBK" w:eastAsia="方正仿宋_GBK" w:cs="方正仿宋_GBK"/>
          <w:color w:val="000000"/>
          <w:sz w:val="32"/>
          <w:szCs w:val="32"/>
          <w:highlight w:val="none"/>
          <w:lang w:eastAsia="zh-CN"/>
        </w:rPr>
        <w:t>该</w:t>
      </w:r>
      <w:r>
        <w:rPr>
          <w:rFonts w:hint="eastAsia" w:ascii="方正仿宋_GBK" w:hAnsi="方正仿宋_GBK" w:eastAsia="方正仿宋_GBK" w:cs="方正仿宋_GBK"/>
          <w:color w:val="000000"/>
          <w:sz w:val="32"/>
          <w:szCs w:val="32"/>
          <w:highlight w:val="none"/>
        </w:rPr>
        <w:t>项目成果已全面转化为现实生产力，推广应用程度深、范围广。在2017年到2025年，</w:t>
      </w:r>
      <w:r>
        <w:rPr>
          <w:rFonts w:hint="eastAsia" w:ascii="方正仿宋_GBK" w:hAnsi="方正仿宋_GBK" w:eastAsia="方正仿宋_GBK" w:cs="方正仿宋_GBK"/>
          <w:color w:val="000000"/>
          <w:sz w:val="32"/>
          <w:szCs w:val="32"/>
          <w:highlight w:val="none"/>
          <w:lang w:val="en-US" w:eastAsia="zh-CN"/>
        </w:rPr>
        <w:t>于</w:t>
      </w:r>
      <w:r>
        <w:rPr>
          <w:rFonts w:hint="eastAsia" w:ascii="方正仿宋_GBK" w:hAnsi="方正仿宋_GBK" w:eastAsia="方正仿宋_GBK" w:cs="方正仿宋_GBK"/>
          <w:color w:val="000000"/>
          <w:sz w:val="32"/>
          <w:szCs w:val="32"/>
          <w:highlight w:val="none"/>
        </w:rPr>
        <w:t>中国石油沁水盆地南部区块实现规模化应用。截至2025年12月，已成功推广应用至664口煤层气水平井，覆盖了该区块大部分的新建产能井，成为了该区域煤层气水平井开发的主导技术和标准配置。截止2025年底，累计增产煤层气</w:t>
      </w:r>
      <w:r>
        <w:rPr>
          <w:rFonts w:hint="eastAsia" w:ascii="方正仿宋_GBK" w:hAnsi="方正仿宋_GBK" w:eastAsia="方正仿宋_GBK" w:cs="方正仿宋_GBK"/>
          <w:color w:val="000000"/>
          <w:sz w:val="32"/>
          <w:szCs w:val="32"/>
          <w:highlight w:val="none"/>
          <w:lang w:val="en-US" w:eastAsia="zh-CN"/>
        </w:rPr>
        <w:t>5.08</w:t>
      </w:r>
      <w:r>
        <w:rPr>
          <w:rFonts w:hint="eastAsia" w:ascii="方正仿宋_GBK" w:hAnsi="方正仿宋_GBK" w:eastAsia="方正仿宋_GBK" w:cs="方正仿宋_GBK"/>
          <w:color w:val="000000"/>
          <w:sz w:val="32"/>
          <w:szCs w:val="32"/>
          <w:highlight w:val="none"/>
        </w:rPr>
        <w:t>亿m³，新增利润</w:t>
      </w:r>
      <w:r>
        <w:rPr>
          <w:rFonts w:hint="eastAsia" w:ascii="方正仿宋_GBK" w:hAnsi="方正仿宋_GBK" w:eastAsia="方正仿宋_GBK" w:cs="方正仿宋_GBK"/>
          <w:color w:val="000000"/>
          <w:sz w:val="32"/>
          <w:szCs w:val="32"/>
          <w:highlight w:val="none"/>
          <w:lang w:val="en-US" w:eastAsia="zh-CN"/>
        </w:rPr>
        <w:t>6.60</w:t>
      </w:r>
      <w:r>
        <w:rPr>
          <w:rFonts w:hint="eastAsia" w:ascii="方正仿宋_GBK" w:hAnsi="方正仿宋_GBK" w:eastAsia="方正仿宋_GBK" w:cs="方正仿宋_GBK"/>
          <w:color w:val="000000"/>
          <w:sz w:val="32"/>
          <w:szCs w:val="32"/>
          <w:highlight w:val="none"/>
        </w:rPr>
        <w:t>亿元。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主要知识产权证明目录</w:t>
      </w:r>
    </w:p>
    <w:tbl>
      <w:tblPr>
        <w:tblStyle w:val="16"/>
        <w:tblW w:w="5114"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375"/>
        <w:gridCol w:w="4675"/>
        <w:gridCol w:w="1158"/>
        <w:gridCol w:w="962"/>
        <w:gridCol w:w="18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580"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知识产权具体名称</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知识产权类别</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国（区）别</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授权号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580"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无杆泵固定阀</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Cs/>
                <w:sz w:val="21"/>
                <w:szCs w:val="21"/>
              </w:rPr>
              <w:t>ZL201810863396.0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一种潜油电机定子嵌线工艺方法</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ZL202110632604.8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一种轴向磁通多盘式潜油永磁同步电机</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ZL202310786909.3</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基于温升模型重构的深井永磁同步电机防退磁控制方法</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ZL202011642870.0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一种监测煤层气井产出液中煤粉含量的方法</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ZL201610625602.5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一种不动管柱的煤层气井带压洗井方法</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ZL201610849760.9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煤层气井同心管水力活塞排采装置及方法</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ZL201210240734.8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液压换向球阀及工作方法</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发明专利</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lang w:val="en-US" w:eastAsia="zh-CN"/>
              </w:rPr>
              <w:t>ZL201410405868.X</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一种用于煤层气井的重力偏心气锚</w:t>
            </w:r>
          </w:p>
        </w:tc>
        <w:tc>
          <w:tcPr>
            <w:tcW w:w="639"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ZL201620105460.5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煤层气井的气锚</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ZL201822009536.6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11</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一种同心双管井下水力喷射泵上的新型高压密封结构</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ZL202023067693.6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12</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一种具有新型密封插头结构的同心双管射流泵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ZL202023067695.5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13</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一种具有新型组合密封结构的同心双管水力喷射泵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ZL202023056411.2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14</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一种同心双管水力喷射泵上的新型高温密封结构</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ZL202023067692.1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15</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无杆排采系统井下泵组减载式单作用泵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ZL201520484581.0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16</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煤层气井无杆排采系统井下动筒式单作用泵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ZL201420280875.7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17</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煤层气井无杆排采系统井下定筒式单作用泵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ZL201420281031.4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18</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一种用于无杆排采系统的井下动筒式单作用泵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ZL202122905744.6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19</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一种无杆排采系统井下定筒单作用泵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ZL202321266839.0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一种无杆排采系统井下大排量外排液单作用泵</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ZL202321504996.0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21</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一种防煤粉防垢防蜡装置</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ZL202222332322.9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22</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潜油直驱螺杆泵钛合金柔性杆</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ZL201921481209.9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23</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小直径潜油专用永磁同步电机</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ZL202020438409.2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24</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一种循环回注洗井系统</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ZL202122911095.0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25</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一种防砂防气的电潜螺杆泵装置</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ZL202223379551.2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26</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一种万向的机组连接结构</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ZL202322038008.4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67" w:hRule="atLeast"/>
          <w:jc w:val="center"/>
        </w:trPr>
        <w:tc>
          <w:tcPr>
            <w:tcW w:w="207"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27</w:t>
            </w:r>
          </w:p>
        </w:tc>
        <w:tc>
          <w:tcPr>
            <w:tcW w:w="2580"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i w:val="0"/>
                <w:iCs w:val="0"/>
                <w:color w:val="000000"/>
                <w:kern w:val="0"/>
                <w:sz w:val="21"/>
                <w:szCs w:val="21"/>
                <w:u w:val="none"/>
                <w:lang w:val="en-US" w:eastAsia="zh-CN" w:bidi="ar"/>
              </w:rPr>
              <w:t>一种机组上部沉砂管柱</w:t>
            </w:r>
          </w:p>
        </w:tc>
        <w:tc>
          <w:tcPr>
            <w:tcW w:w="639"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实用新型</w:t>
            </w:r>
          </w:p>
        </w:tc>
        <w:tc>
          <w:tcPr>
            <w:tcW w:w="531" w:type="pct"/>
            <w:tcBorders>
              <w:top w:val="single" w:color="auto" w:sz="4" w:space="0"/>
              <w:left w:val="single" w:color="auto" w:sz="4" w:space="0"/>
              <w:bottom w:val="single" w:color="auto" w:sz="4" w:space="0"/>
              <w:right w:val="single" w:color="auto" w:sz="4" w:space="0"/>
            </w:tcBorders>
            <w:vAlign w:val="center"/>
          </w:tcPr>
          <w:p>
            <w:pPr>
              <w:spacing w:line="240" w:lineRule="auto"/>
              <w:jc w:val="center"/>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中国</w:t>
            </w:r>
          </w:p>
        </w:tc>
        <w:tc>
          <w:tcPr>
            <w:tcW w:w="1041" w:type="pct"/>
            <w:tcBorders>
              <w:top w:val="single" w:color="auto" w:sz="4" w:space="0"/>
              <w:left w:val="single" w:color="auto" w:sz="4" w:space="0"/>
              <w:bottom w:val="single" w:color="auto" w:sz="4" w:space="0"/>
              <w:right w:val="single" w:color="auto" w:sz="4" w:space="0"/>
            </w:tcBorders>
            <w:vAlign w:val="center"/>
          </w:tcPr>
          <w:p>
            <w:pPr>
              <w:pStyle w:val="13"/>
              <w:spacing w:line="240" w:lineRule="auto"/>
              <w:jc w:val="center"/>
              <w:rPr>
                <w:rFonts w:hint="eastAsia" w:asciiTheme="minorEastAsia" w:hAnsiTheme="minorEastAsia" w:eastAsiaTheme="minorEastAsia" w:cstheme="minorEastAsia"/>
                <w:bCs/>
                <w:sz w:val="21"/>
                <w:szCs w:val="21"/>
                <w:lang w:val="en-US" w:eastAsia="zh-CN"/>
              </w:rPr>
            </w:pPr>
            <w:r>
              <w:rPr>
                <w:rFonts w:hint="eastAsia" w:asciiTheme="minorEastAsia" w:hAnsiTheme="minorEastAsia" w:eastAsiaTheme="minorEastAsia" w:cstheme="minorEastAsia"/>
                <w:bCs/>
                <w:sz w:val="21"/>
                <w:szCs w:val="21"/>
                <w:lang w:val="en-US" w:eastAsia="zh-CN"/>
              </w:rPr>
              <w:t>ZL202322933342.6</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主要完成人情况</w:t>
      </w:r>
    </w:p>
    <w:tbl>
      <w:tblPr>
        <w:tblStyle w:val="8"/>
        <w:tblW w:w="9264" w:type="dxa"/>
        <w:tblInd w:w="-1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9"/>
        <w:gridCol w:w="958"/>
        <w:gridCol w:w="1028"/>
        <w:gridCol w:w="2230"/>
        <w:gridCol w:w="44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609" w:type="dxa"/>
            <w:noWrap w:val="0"/>
            <w:tcMar>
              <w:left w:w="6" w:type="dxa"/>
              <w:right w:w="6" w:type="dxa"/>
            </w:tcMar>
            <w:vAlign w:val="center"/>
          </w:tcPr>
          <w:p>
            <w:pPr>
              <w:spacing w:line="276" w:lineRule="auto"/>
              <w:contextualSpacing/>
              <w:jc w:val="center"/>
              <w:rPr>
                <w:rStyle w:val="17"/>
                <w:rFonts w:hint="eastAsia" w:asciiTheme="minorEastAsia" w:hAnsiTheme="minorEastAsia" w:eastAsiaTheme="minorEastAsia" w:cstheme="minorEastAsia"/>
                <w:sz w:val="21"/>
                <w:szCs w:val="21"/>
                <w:lang w:val="en-US" w:eastAsia="zh-CN"/>
              </w:rPr>
            </w:pPr>
            <w:r>
              <w:rPr>
                <w:rStyle w:val="17"/>
                <w:rFonts w:hint="eastAsia" w:asciiTheme="minorEastAsia" w:hAnsiTheme="minorEastAsia" w:eastAsiaTheme="minorEastAsia" w:cstheme="minorEastAsia"/>
                <w:sz w:val="21"/>
                <w:szCs w:val="21"/>
                <w:lang w:val="en-US" w:eastAsia="zh-CN"/>
              </w:rPr>
              <w:t>序号</w:t>
            </w:r>
          </w:p>
        </w:tc>
        <w:tc>
          <w:tcPr>
            <w:tcW w:w="958" w:type="dxa"/>
            <w:noWrap w:val="0"/>
            <w:tcMar>
              <w:left w:w="6" w:type="dxa"/>
              <w:right w:w="6" w:type="dxa"/>
            </w:tcMar>
            <w:vAlign w:val="center"/>
          </w:tcPr>
          <w:p>
            <w:pPr>
              <w:spacing w:line="276" w:lineRule="auto"/>
              <w:contextualSpacing/>
              <w:jc w:val="center"/>
              <w:rPr>
                <w:rStyle w:val="17"/>
                <w:rFonts w:hint="eastAsia" w:asciiTheme="minorEastAsia" w:hAnsiTheme="minorEastAsia" w:eastAsiaTheme="minorEastAsia" w:cstheme="minorEastAsia"/>
                <w:sz w:val="21"/>
                <w:szCs w:val="21"/>
                <w:lang w:val="en-US" w:eastAsia="zh-CN"/>
              </w:rPr>
            </w:pPr>
            <w:r>
              <w:rPr>
                <w:rStyle w:val="17"/>
                <w:rFonts w:hint="eastAsia" w:asciiTheme="minorEastAsia" w:hAnsiTheme="minorEastAsia" w:eastAsiaTheme="minorEastAsia" w:cstheme="minorEastAsia"/>
                <w:sz w:val="21"/>
                <w:szCs w:val="21"/>
                <w:lang w:val="en-US" w:eastAsia="zh-CN"/>
              </w:rPr>
              <w:t>姓名</w:t>
            </w:r>
          </w:p>
        </w:tc>
        <w:tc>
          <w:tcPr>
            <w:tcW w:w="1028" w:type="dxa"/>
            <w:noWrap w:val="0"/>
            <w:tcMar>
              <w:left w:w="6" w:type="dxa"/>
              <w:right w:w="6" w:type="dxa"/>
            </w:tcMar>
            <w:vAlign w:val="center"/>
          </w:tcPr>
          <w:p>
            <w:pPr>
              <w:spacing w:line="276" w:lineRule="auto"/>
              <w:contextualSpacing/>
              <w:jc w:val="center"/>
              <w:rPr>
                <w:rStyle w:val="17"/>
                <w:rFonts w:hint="eastAsia" w:asciiTheme="minorEastAsia" w:hAnsiTheme="minorEastAsia" w:eastAsiaTheme="minorEastAsia" w:cstheme="minorEastAsia"/>
                <w:sz w:val="21"/>
                <w:szCs w:val="21"/>
                <w:lang w:val="en-US" w:eastAsia="zh-CN"/>
              </w:rPr>
            </w:pPr>
            <w:r>
              <w:rPr>
                <w:rStyle w:val="17"/>
                <w:rFonts w:hint="eastAsia" w:asciiTheme="minorEastAsia" w:hAnsiTheme="minorEastAsia" w:eastAsiaTheme="minorEastAsia" w:cstheme="minorEastAsia"/>
                <w:sz w:val="21"/>
                <w:szCs w:val="21"/>
                <w:lang w:val="en-US" w:eastAsia="zh-CN"/>
              </w:rPr>
              <w:t>技术职称</w:t>
            </w:r>
          </w:p>
        </w:tc>
        <w:tc>
          <w:tcPr>
            <w:tcW w:w="2230" w:type="dxa"/>
            <w:noWrap w:val="0"/>
            <w:tcMar>
              <w:left w:w="6" w:type="dxa"/>
              <w:right w:w="6" w:type="dxa"/>
            </w:tcMar>
            <w:vAlign w:val="center"/>
          </w:tcPr>
          <w:p>
            <w:pPr>
              <w:spacing w:line="276" w:lineRule="auto"/>
              <w:contextualSpacing/>
              <w:jc w:val="center"/>
              <w:rPr>
                <w:rStyle w:val="17"/>
                <w:rFonts w:hint="eastAsia" w:asciiTheme="minorEastAsia" w:hAnsiTheme="minorEastAsia" w:eastAsiaTheme="minorEastAsia" w:cstheme="minorEastAsia"/>
                <w:sz w:val="21"/>
                <w:szCs w:val="21"/>
                <w:lang w:val="en-US" w:eastAsia="zh-CN"/>
              </w:rPr>
            </w:pPr>
            <w:r>
              <w:rPr>
                <w:rStyle w:val="17"/>
                <w:rFonts w:hint="eastAsia" w:asciiTheme="minorEastAsia" w:hAnsiTheme="minorEastAsia" w:eastAsiaTheme="minorEastAsia" w:cstheme="minorEastAsia"/>
                <w:sz w:val="21"/>
                <w:szCs w:val="21"/>
                <w:lang w:val="en-US" w:eastAsia="zh-CN"/>
              </w:rPr>
              <w:t>工作单位</w:t>
            </w:r>
          </w:p>
        </w:tc>
        <w:tc>
          <w:tcPr>
            <w:tcW w:w="4439" w:type="dxa"/>
            <w:noWrap w:val="0"/>
            <w:tcMar>
              <w:left w:w="6" w:type="dxa"/>
              <w:right w:w="6" w:type="dxa"/>
            </w:tcMar>
            <w:vAlign w:val="center"/>
          </w:tcPr>
          <w:p>
            <w:pPr>
              <w:spacing w:line="276" w:lineRule="auto"/>
              <w:contextualSpacing/>
              <w:jc w:val="center"/>
              <w:rPr>
                <w:rStyle w:val="17"/>
                <w:rFonts w:hint="eastAsia" w:asciiTheme="minorEastAsia" w:hAnsiTheme="minorEastAsia" w:eastAsiaTheme="minorEastAsia" w:cstheme="minorEastAsia"/>
                <w:sz w:val="21"/>
                <w:szCs w:val="21"/>
                <w:lang w:val="en-US" w:eastAsia="zh-CN"/>
              </w:rPr>
            </w:pPr>
            <w:r>
              <w:rPr>
                <w:rStyle w:val="17"/>
                <w:rFonts w:hint="eastAsia" w:asciiTheme="minorEastAsia" w:hAnsiTheme="minorEastAsia" w:eastAsiaTheme="minorEastAsia" w:cstheme="minorEastAsia"/>
                <w:sz w:val="21"/>
                <w:szCs w:val="21"/>
                <w:lang w:val="en-US" w:eastAsia="zh-CN"/>
              </w:rPr>
              <w:t>对成果创造性贡献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9"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w:t>
            </w:r>
          </w:p>
        </w:tc>
        <w:tc>
          <w:tcPr>
            <w:tcW w:w="95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eastAsia="zh-CN"/>
              </w:rPr>
            </w:pPr>
            <w:r>
              <w:rPr>
                <w:rStyle w:val="17"/>
                <w:rFonts w:hint="eastAsia" w:asciiTheme="minorEastAsia" w:hAnsiTheme="minorEastAsia" w:eastAsiaTheme="minorEastAsia" w:cstheme="minorEastAsia"/>
                <w:sz w:val="21"/>
                <w:szCs w:val="21"/>
                <w:lang w:val="en-US" w:eastAsia="zh-CN"/>
              </w:rPr>
              <w:t>赵立平</w:t>
            </w:r>
          </w:p>
        </w:tc>
        <w:tc>
          <w:tcPr>
            <w:tcW w:w="102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23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439"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项目经理，负责项目的总体把关，进行项目设计调整、制定研究路线，协调组织项目成员按计划开展研究及项目主研。重点组织开展水平井设备关键技术研究</w:t>
            </w:r>
            <w:r>
              <w:rPr>
                <w:rFonts w:hint="eastAsia" w:asciiTheme="minorEastAsia" w:hAnsiTheme="minorEastAsia" w:eastAsiaTheme="minorEastAsia" w:cstheme="minorEastAsia"/>
                <w:sz w:val="21"/>
                <w:szCs w:val="21"/>
                <w:lang w:val="en-US" w:eastAsia="zh-CN"/>
              </w:rPr>
              <w:t>及排采关键技术优化</w:t>
            </w:r>
            <w:r>
              <w:rPr>
                <w:rFonts w:hint="eastAsia" w:asciiTheme="minorEastAsia" w:hAnsiTheme="minorEastAsia" w:eastAsiaTheme="minorEastAsia" w:cstheme="minorEastAsia"/>
                <w:sz w:val="21"/>
                <w:szCs w:val="21"/>
              </w:rPr>
              <w:t>，本人对创新点</w:t>
            </w:r>
            <w:r>
              <w:rPr>
                <w:rFonts w:hint="eastAsia" w:asciiTheme="minorEastAsia" w:hAnsiTheme="minorEastAsia" w:eastAsiaTheme="minorEastAsia" w:cstheme="minorEastAsia"/>
                <w:sz w:val="21"/>
                <w:szCs w:val="21"/>
                <w:lang w:val="en-US" w:eastAsia="zh-CN"/>
              </w:rPr>
              <w:t>二</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三</w:t>
            </w:r>
            <w:r>
              <w:rPr>
                <w:rFonts w:hint="eastAsia" w:asciiTheme="minorEastAsia" w:hAnsiTheme="minorEastAsia" w:eastAsiaTheme="minorEastAsia" w:cstheme="minorEastAsia"/>
                <w:sz w:val="21"/>
                <w:szCs w:val="21"/>
              </w:rPr>
              <w:t>关键技术具有创造性贡献。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9"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w:t>
            </w:r>
          </w:p>
        </w:tc>
        <w:tc>
          <w:tcPr>
            <w:tcW w:w="95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eastAsia="zh-CN"/>
              </w:rPr>
            </w:pPr>
            <w:r>
              <w:rPr>
                <w:rStyle w:val="17"/>
                <w:rFonts w:hint="eastAsia" w:asciiTheme="minorEastAsia" w:hAnsiTheme="minorEastAsia" w:eastAsiaTheme="minorEastAsia" w:cstheme="minorEastAsia"/>
                <w:sz w:val="21"/>
                <w:szCs w:val="21"/>
                <w:lang w:val="en-US" w:eastAsia="zh-CN"/>
              </w:rPr>
              <w:t>樊彬</w:t>
            </w:r>
          </w:p>
        </w:tc>
        <w:tc>
          <w:tcPr>
            <w:tcW w:w="102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23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439"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参与项目研究工作，主要负责水平井举升关键装备、多元化工艺体系技术的研发，本人对创新点一、三具有创造性贡献。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9"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cstheme="minorEastAsia"/>
                <w:color w:val="000000"/>
                <w:sz w:val="21"/>
                <w:szCs w:val="21"/>
                <w:lang w:eastAsia="zh-CN"/>
              </w:rPr>
              <w:t>３</w:t>
            </w:r>
          </w:p>
        </w:tc>
        <w:tc>
          <w:tcPr>
            <w:tcW w:w="95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eastAsia="zh-CN"/>
              </w:rPr>
            </w:pPr>
            <w:r>
              <w:rPr>
                <w:rStyle w:val="17"/>
                <w:rFonts w:hint="eastAsia" w:asciiTheme="minorEastAsia" w:hAnsiTheme="minorEastAsia" w:eastAsiaTheme="minorEastAsia" w:cstheme="minorEastAsia"/>
                <w:sz w:val="21"/>
                <w:szCs w:val="21"/>
                <w:lang w:val="en-US" w:eastAsia="zh-CN"/>
              </w:rPr>
              <w:t>简阔</w:t>
            </w:r>
          </w:p>
        </w:tc>
        <w:tc>
          <w:tcPr>
            <w:tcW w:w="102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副教授</w:t>
            </w:r>
          </w:p>
        </w:tc>
        <w:tc>
          <w:tcPr>
            <w:tcW w:w="223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太原科技大学</w:t>
            </w:r>
          </w:p>
        </w:tc>
        <w:tc>
          <w:tcPr>
            <w:tcW w:w="4439"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参与项目研究工作，主要负责水平井储层适应性研究和气水排采解决方案，本人对创新点二、三具有创造性贡献。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9"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cstheme="minorEastAsia"/>
                <w:color w:val="000000"/>
                <w:sz w:val="21"/>
                <w:szCs w:val="21"/>
                <w:lang w:eastAsia="zh-CN"/>
              </w:rPr>
              <w:t>４</w:t>
            </w:r>
          </w:p>
        </w:tc>
        <w:tc>
          <w:tcPr>
            <w:tcW w:w="95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eastAsia="zh-CN"/>
              </w:rPr>
            </w:pPr>
            <w:r>
              <w:rPr>
                <w:rStyle w:val="17"/>
                <w:rFonts w:hint="eastAsia" w:asciiTheme="minorEastAsia" w:hAnsiTheme="minorEastAsia" w:eastAsiaTheme="minorEastAsia" w:cstheme="minorEastAsia"/>
                <w:sz w:val="21"/>
                <w:szCs w:val="21"/>
                <w:lang w:val="en-US" w:eastAsia="zh-CN"/>
              </w:rPr>
              <w:t>刘斌</w:t>
            </w:r>
          </w:p>
        </w:tc>
        <w:tc>
          <w:tcPr>
            <w:tcW w:w="102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23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439"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参与项目研究工作，负责水平井举升关键装备技术优化及现场试验，主持研发了固体颗粒防治工具，在此基础上持续优化工艺，本人对创新点二、三具有创造性贡献。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9"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cstheme="minorEastAsia"/>
                <w:color w:val="000000"/>
                <w:sz w:val="21"/>
                <w:szCs w:val="21"/>
                <w:lang w:eastAsia="zh-CN"/>
              </w:rPr>
              <w:t>５</w:t>
            </w:r>
          </w:p>
        </w:tc>
        <w:tc>
          <w:tcPr>
            <w:tcW w:w="95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毛崇昊</w:t>
            </w:r>
          </w:p>
        </w:tc>
        <w:tc>
          <w:tcPr>
            <w:tcW w:w="102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高级工</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程师</w:t>
            </w:r>
          </w:p>
        </w:tc>
        <w:tc>
          <w:tcPr>
            <w:tcW w:w="223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439"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参与项目研究工作，主要负责水平井双稳斜一体化设计的研究，研发配套工艺设计体系，本人对创新点一、三具有创造性贡献。佐证材料：附件2.5、附件4.8。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9"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cstheme="minorEastAsia"/>
                <w:color w:val="000000"/>
                <w:sz w:val="21"/>
                <w:szCs w:val="21"/>
                <w:lang w:eastAsia="zh-CN"/>
              </w:rPr>
              <w:t>６</w:t>
            </w:r>
          </w:p>
        </w:tc>
        <w:tc>
          <w:tcPr>
            <w:tcW w:w="95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eastAsia="zh-CN"/>
              </w:rPr>
            </w:pPr>
            <w:r>
              <w:rPr>
                <w:rStyle w:val="17"/>
                <w:rFonts w:hint="eastAsia" w:asciiTheme="minorEastAsia" w:hAnsiTheme="minorEastAsia" w:eastAsiaTheme="minorEastAsia" w:cstheme="minorEastAsia"/>
                <w:sz w:val="21"/>
                <w:szCs w:val="21"/>
                <w:lang w:val="en-US" w:eastAsia="zh-CN"/>
              </w:rPr>
              <w:t>覃蒙扶</w:t>
            </w:r>
          </w:p>
        </w:tc>
        <w:tc>
          <w:tcPr>
            <w:tcW w:w="102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23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439"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参与项目研究工作，负责水平井举升关键装备技术研发设计，主持研究配套防砂防气工具设计，本人对创新点二、三具有创造性贡献。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9"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lang w:eastAsia="zh-CN"/>
              </w:rPr>
            </w:pPr>
            <w:r>
              <w:rPr>
                <w:rFonts w:hint="eastAsia" w:asciiTheme="minorEastAsia" w:hAnsiTheme="minorEastAsia" w:cstheme="minorEastAsia"/>
                <w:color w:val="000000"/>
                <w:sz w:val="21"/>
                <w:szCs w:val="21"/>
                <w:lang w:eastAsia="zh-CN"/>
              </w:rPr>
              <w:t>７</w:t>
            </w:r>
          </w:p>
        </w:tc>
        <w:tc>
          <w:tcPr>
            <w:tcW w:w="95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lang w:eastAsia="zh-CN"/>
              </w:rPr>
            </w:pPr>
            <w:r>
              <w:rPr>
                <w:rStyle w:val="17"/>
                <w:rFonts w:hint="eastAsia" w:asciiTheme="minorEastAsia" w:hAnsiTheme="minorEastAsia" w:eastAsiaTheme="minorEastAsia" w:cstheme="minorEastAsia"/>
                <w:sz w:val="21"/>
                <w:szCs w:val="21"/>
                <w:lang w:val="en-US" w:eastAsia="zh-CN"/>
              </w:rPr>
              <w:t>李泽州</w:t>
            </w:r>
          </w:p>
        </w:tc>
        <w:tc>
          <w:tcPr>
            <w:tcW w:w="1028"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23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439"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参与项目研究工作，负责水平井举升设计技术优化迭代，负责泵挂位置规律研究，本人对创新点一、三具有创造性贡献。</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b/>
          <w:color w:val="auto"/>
          <w:sz w:val="32"/>
          <w:szCs w:val="32"/>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主要完成单位及创新推广贡献</w:t>
      </w:r>
    </w:p>
    <w:tbl>
      <w:tblPr>
        <w:tblStyle w:val="8"/>
        <w:tblW w:w="9283" w:type="dxa"/>
        <w:tblInd w:w="-1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920"/>
        <w:gridCol w:w="6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exact"/>
        </w:trPr>
        <w:tc>
          <w:tcPr>
            <w:tcW w:w="918"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920"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工作单位</w:t>
            </w:r>
          </w:p>
        </w:tc>
        <w:tc>
          <w:tcPr>
            <w:tcW w:w="6445"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对成果创造性贡献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91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w:t>
            </w:r>
          </w:p>
        </w:tc>
        <w:tc>
          <w:tcPr>
            <w:tcW w:w="192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6445" w:type="dxa"/>
            <w:noWrap w:val="0"/>
            <w:tcMar>
              <w:left w:w="6" w:type="dxa"/>
              <w:right w:w="6" w:type="dxa"/>
            </w:tcMar>
            <w:vAlign w:val="center"/>
          </w:tcPr>
          <w:p>
            <w:pPr>
              <w:ind w:left="36" w:leftChars="17" w:right="53" w:rightChars="25" w:firstLine="16" w:firstLineChars="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牵头单位，组建了地质研究、井眼轨迹设计、举升设备研究、井下设备设计等多学科的科研攻关团队，紧密围绕“实现煤层气高效开发”这一核心目标，开展了技术攻关与规模现场试验。创新构建了适用于煤层气水平井的排采关键技术及无杆泵总成研发应用，并进行了规模化推广应用，现场应用效果显著，为</w:t>
            </w:r>
            <w:r>
              <w:rPr>
                <w:rFonts w:hint="eastAsia" w:asciiTheme="minorEastAsia" w:hAnsiTheme="minorEastAsia" w:cstheme="minorEastAsia"/>
                <w:sz w:val="21"/>
                <w:szCs w:val="21"/>
                <w:lang w:eastAsia="zh-CN"/>
              </w:rPr>
              <w:t>该</w:t>
            </w:r>
            <w:r>
              <w:rPr>
                <w:rFonts w:hint="eastAsia" w:asciiTheme="minorEastAsia" w:hAnsiTheme="minorEastAsia" w:eastAsiaTheme="minorEastAsia" w:cstheme="minorEastAsia"/>
                <w:sz w:val="21"/>
                <w:szCs w:val="21"/>
              </w:rPr>
              <w:t>项目主要贡献者。</w:t>
            </w:r>
            <w:r>
              <w:rPr>
                <w:rFonts w:hint="eastAsia" w:asciiTheme="minorEastAsia" w:hAnsiTheme="minorEastAsia" w:eastAsiaTheme="minorEastAsia" w:cstheme="minorEastAsia"/>
                <w:sz w:val="21"/>
                <w:szCs w:val="21"/>
                <w:lang w:val="en-US" w:eastAsia="zh-CN"/>
              </w:rPr>
              <w:t>对创新点一、二、三有突出贡献。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91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w:t>
            </w:r>
          </w:p>
        </w:tc>
        <w:tc>
          <w:tcPr>
            <w:tcW w:w="192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太原科技大学</w:t>
            </w:r>
          </w:p>
        </w:tc>
        <w:tc>
          <w:tcPr>
            <w:tcW w:w="6445" w:type="dxa"/>
            <w:noWrap w:val="0"/>
            <w:tcMar>
              <w:left w:w="6" w:type="dxa"/>
              <w:right w:w="6" w:type="dxa"/>
            </w:tcMar>
            <w:vAlign w:val="center"/>
          </w:tcPr>
          <w:p>
            <w:pPr>
              <w:ind w:left="36" w:leftChars="17" w:right="38" w:rightChars="18" w:firstLine="1"/>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作为</w:t>
            </w:r>
            <w:r>
              <w:rPr>
                <w:rFonts w:hint="eastAsia" w:asciiTheme="minorEastAsia" w:hAnsiTheme="minorEastAsia" w:cstheme="minorEastAsia"/>
                <w:sz w:val="21"/>
                <w:szCs w:val="21"/>
                <w:lang w:eastAsia="zh-CN"/>
              </w:rPr>
              <w:t>该</w:t>
            </w:r>
            <w:r>
              <w:rPr>
                <w:rFonts w:hint="eastAsia" w:asciiTheme="minorEastAsia" w:hAnsiTheme="minorEastAsia" w:eastAsiaTheme="minorEastAsia" w:cstheme="minorEastAsia"/>
                <w:sz w:val="21"/>
                <w:szCs w:val="21"/>
              </w:rPr>
              <w:t>项目技术指导与理论支撑单位，充分发挥高校科研优势，牵头开展水平井排采优化评价研究。项目期间，学校研究团队综合运用地质建模、数值模拟等方法，参与制定了气水排采制度动态调整策略，为现场应用提供了全过程技术咨询与跟踪评价。研究成果直接支撑了项目实施井的高产稳产，显著提升了整体技术效果，是</w:t>
            </w:r>
            <w:r>
              <w:rPr>
                <w:rFonts w:hint="eastAsia" w:asciiTheme="minorEastAsia" w:hAnsiTheme="minorEastAsia" w:cstheme="minorEastAsia"/>
                <w:sz w:val="21"/>
                <w:szCs w:val="21"/>
                <w:lang w:eastAsia="zh-CN"/>
              </w:rPr>
              <w:t>该</w:t>
            </w:r>
            <w:r>
              <w:rPr>
                <w:rFonts w:hint="eastAsia" w:asciiTheme="minorEastAsia" w:hAnsiTheme="minorEastAsia" w:eastAsiaTheme="minorEastAsia" w:cstheme="minorEastAsia"/>
                <w:sz w:val="21"/>
                <w:szCs w:val="21"/>
              </w:rPr>
              <w:t>项目产学研协同创新的重要贡献者。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91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w:t>
            </w:r>
          </w:p>
        </w:tc>
        <w:tc>
          <w:tcPr>
            <w:tcW w:w="192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郑州亿丰无杆泵业有限公司</w:t>
            </w:r>
          </w:p>
        </w:tc>
        <w:tc>
          <w:tcPr>
            <w:tcW w:w="6445" w:type="dxa"/>
            <w:noWrap w:val="0"/>
            <w:tcMar>
              <w:left w:w="6" w:type="dxa"/>
              <w:right w:w="6" w:type="dxa"/>
            </w:tcMar>
            <w:vAlign w:val="center"/>
          </w:tcPr>
          <w:p>
            <w:pPr>
              <w:ind w:left="8" w:leftChars="4" w:right="38" w:rightChars="18" w:firstLine="1"/>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在本项目中专注于水力管式泵举升技术的创新研发与工程化应用。技术团队针对煤层气井特殊工况，创新设计了水力管式泵新型液力举升结构，优化了泵筒、柱塞及换向阀组等核心部件，显著提高了泵送含固相流体的可靠性与耐用性，有效降低了卡泵、漏失等故障频次，保障了煤层气井长期连续作业。该成果作为项目成果的重要组成部分，对提高煤层气开发综合效益作出了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91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w:t>
            </w:r>
          </w:p>
        </w:tc>
        <w:tc>
          <w:tcPr>
            <w:tcW w:w="192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胜利油田隆迪石油技术（装备）有限责任公司</w:t>
            </w:r>
          </w:p>
        </w:tc>
        <w:tc>
          <w:tcPr>
            <w:tcW w:w="6445" w:type="dxa"/>
            <w:noWrap w:val="0"/>
            <w:tcMar>
              <w:left w:w="6" w:type="dxa"/>
              <w:right w:w="6" w:type="dxa"/>
            </w:tcMar>
            <w:vAlign w:val="center"/>
          </w:tcPr>
          <w:p>
            <w:pPr>
              <w:ind w:left="21" w:leftChars="10" w:right="38" w:rightChars="1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本项目射流泵举升技术攻关，系统开展了射流泵排采工艺的室内机理研究与现场应用优化。优化了喷嘴、喉管等核心水力参数设计，显著提升了泵效与举升适应性。经多口水平井现场试验验证，该技术有效提高了排采连续性和产气效率，为项目水平井高效排采方案的落地实施提供了关键技术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91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5</w:t>
            </w:r>
          </w:p>
        </w:tc>
        <w:tc>
          <w:tcPr>
            <w:tcW w:w="192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新乡市夏烽电器有限公司</w:t>
            </w:r>
          </w:p>
        </w:tc>
        <w:tc>
          <w:tcPr>
            <w:tcW w:w="6445" w:type="dxa"/>
            <w:noWrap w:val="0"/>
            <w:tcMar>
              <w:left w:w="6" w:type="dxa"/>
              <w:right w:w="6" w:type="dxa"/>
            </w:tcMar>
            <w:vAlign w:val="center"/>
          </w:tcPr>
          <w:p>
            <w:pPr>
              <w:ind w:left="21" w:leftChars="10" w:right="38" w:rightChars="1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在本项目中重点承担电潜泵优化设计与高效节能技术攻关任务。围绕煤层气储层特性，对电潜泵机组进行全工况室内性能测试，系统分析了电机负载率、启动特性，创新优化了电机功率与变频调控参数，显著降低了单位产液能耗。同时，针对煤粉、砂粒等固相颗粒对泵机组进行改进，提高了泵机组的耐磨损与抗堵塞能力，有力支撑了项目总体技术指标达成，为低渗煤层气资源的经济高效动用提供了先进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91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lang w:val="en-US" w:eastAsia="zh-CN"/>
              </w:rPr>
            </w:pPr>
            <w:r>
              <w:rPr>
                <w:rFonts w:hint="eastAsia" w:asciiTheme="minorEastAsia" w:hAnsiTheme="minorEastAsia" w:eastAsiaTheme="minorEastAsia" w:cstheme="minorEastAsia"/>
                <w:color w:val="000000"/>
                <w:sz w:val="21"/>
                <w:szCs w:val="21"/>
                <w:lang w:val="en-US" w:eastAsia="zh-CN"/>
              </w:rPr>
              <w:t>6</w:t>
            </w:r>
          </w:p>
        </w:tc>
        <w:tc>
          <w:tcPr>
            <w:tcW w:w="192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山东威马泵业股份有限公司</w:t>
            </w:r>
          </w:p>
        </w:tc>
        <w:tc>
          <w:tcPr>
            <w:tcW w:w="6445" w:type="dxa"/>
            <w:noWrap w:val="0"/>
            <w:tcMar>
              <w:left w:w="6" w:type="dxa"/>
              <w:right w:w="6" w:type="dxa"/>
            </w:tcMar>
            <w:vAlign w:val="center"/>
          </w:tcPr>
          <w:p>
            <w:pPr>
              <w:ind w:left="21" w:leftChars="10" w:right="38" w:rightChars="1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系统开展了电潜泵机组适应性评价与举升工艺优化研究。测试了不同井况条件下泵机组的运行特性，开展了电潜泵平稳运行工艺的精细化改进，同步开展配套井下工具研发，优化了电缆连接、保护器及传感器等关键部件结构，通过现场多井次应用验证，实现了水平井稳定、连续排采，为项目整体技术体系的构建提供了坚实的支撑。</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color w:val="auto"/>
          <w:sz w:val="32"/>
          <w:szCs w:val="32"/>
          <w:lang w:eastAsia="zh-CN"/>
        </w:rPr>
        <w:t>　　</w:t>
      </w:r>
      <w:r>
        <w:rPr>
          <w:rFonts w:hint="eastAsia" w:ascii="方正楷体_GBK" w:hAnsi="方正楷体_GBK" w:eastAsia="方正楷体_GBK" w:cs="方正楷体_GBK"/>
          <w:b/>
          <w:color w:val="auto"/>
          <w:sz w:val="32"/>
          <w:szCs w:val="32"/>
        </w:rPr>
        <w:t>完成人合作关系说明</w:t>
      </w:r>
    </w:p>
    <w:tbl>
      <w:tblPr>
        <w:tblStyle w:val="8"/>
        <w:tblW w:w="932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05"/>
        <w:gridCol w:w="1164"/>
        <w:gridCol w:w="2363"/>
        <w:gridCol w:w="3325"/>
        <w:gridCol w:w="1768"/>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cantSplit/>
          <w:trHeight w:val="680" w:hRule="exact"/>
          <w:jc w:val="center"/>
        </w:trPr>
        <w:tc>
          <w:tcPr>
            <w:tcW w:w="705"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序号</w:t>
            </w:r>
          </w:p>
        </w:tc>
        <w:tc>
          <w:tcPr>
            <w:tcW w:w="1164"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合作方式</w:t>
            </w:r>
          </w:p>
        </w:tc>
        <w:tc>
          <w:tcPr>
            <w:tcW w:w="2363"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合作者</w:t>
            </w:r>
          </w:p>
        </w:tc>
        <w:tc>
          <w:tcPr>
            <w:tcW w:w="3325"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合作成果</w:t>
            </w:r>
          </w:p>
        </w:tc>
        <w:tc>
          <w:tcPr>
            <w:tcW w:w="1768"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1096" w:hRule="atLeast"/>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1</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共同成果</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lang w:val="en-US" w:eastAsia="zh-CN"/>
              </w:rPr>
              <w:t>赵立平，</w:t>
            </w:r>
            <w:r>
              <w:rPr>
                <w:rFonts w:hint="eastAsia" w:asciiTheme="minorEastAsia" w:hAnsiTheme="minorEastAsia" w:eastAsiaTheme="minorEastAsia" w:cstheme="minorEastAsia"/>
                <w:sz w:val="21"/>
                <w:szCs w:val="21"/>
              </w:rPr>
              <w:t>樊彬，简阔，刘斌，毛崇昊，覃蒙扶，李泽州</w:t>
            </w:r>
          </w:p>
        </w:tc>
        <w:tc>
          <w:tcPr>
            <w:tcW w:w="3325"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煤层气L型水平井排采关键技术及无杆泵总成研发应用</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lang w:val="zh-CN"/>
              </w:rPr>
              <w:t>国际</w:t>
            </w:r>
            <w:r>
              <w:rPr>
                <w:rFonts w:hint="eastAsia" w:asciiTheme="minorEastAsia" w:hAnsiTheme="minorEastAsia" w:eastAsiaTheme="minorEastAsia" w:cstheme="minorEastAsia"/>
                <w:kern w:val="0"/>
                <w:sz w:val="21"/>
                <w:szCs w:val="21"/>
                <w:lang w:val="en-US" w:eastAsia="zh-CN"/>
              </w:rPr>
              <w:t>先进</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2</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共同专利</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樊彬、毛崇昊</w:t>
            </w:r>
          </w:p>
        </w:tc>
        <w:tc>
          <w:tcPr>
            <w:tcW w:w="3325"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一种监测煤层气井产出液中煤粉含量的方法</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有效专利</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3</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共同专利</w:t>
            </w:r>
          </w:p>
        </w:tc>
        <w:tc>
          <w:tcPr>
            <w:tcW w:w="2363" w:type="dxa"/>
            <w:noWrap w:val="0"/>
            <w:vAlign w:val="center"/>
          </w:tcPr>
          <w:p>
            <w:pPr>
              <w:autoSpaceDE w:val="0"/>
              <w:autoSpaceDN w:val="0"/>
              <w:adjustRightInd w:val="0"/>
              <w:jc w:val="both"/>
              <w:rPr>
                <w:rFonts w:hint="eastAsia" w:asciiTheme="minorEastAsia" w:hAnsiTheme="minorEastAsia" w:eastAsiaTheme="minorEastAsia" w:cstheme="minorEastAsia"/>
                <w:kern w:val="0"/>
                <w:sz w:val="21"/>
                <w:szCs w:val="21"/>
                <w:lang w:eastAsia="zh-CN"/>
              </w:rPr>
            </w:pPr>
            <w:r>
              <w:rPr>
                <w:rFonts w:hint="eastAsia" w:asciiTheme="minorEastAsia" w:hAnsiTheme="minorEastAsia" w:eastAsiaTheme="minorEastAsia" w:cstheme="minorEastAsia"/>
                <w:kern w:val="0"/>
                <w:sz w:val="21"/>
                <w:szCs w:val="21"/>
              </w:rPr>
              <w:t>樊彬、</w:t>
            </w:r>
            <w:r>
              <w:rPr>
                <w:rFonts w:hint="eastAsia" w:asciiTheme="minorEastAsia" w:hAnsiTheme="minorEastAsia" w:eastAsiaTheme="minorEastAsia" w:cstheme="minorEastAsia"/>
                <w:kern w:val="0"/>
                <w:sz w:val="21"/>
                <w:szCs w:val="21"/>
                <w:lang w:val="en-US" w:eastAsia="zh-CN"/>
              </w:rPr>
              <w:t>覃蒙扶</w:t>
            </w:r>
          </w:p>
        </w:tc>
        <w:tc>
          <w:tcPr>
            <w:tcW w:w="3325"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一种循环回注洗井系统</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有效专利</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4</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共同论文</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樊彬、刘斌</w:t>
            </w:r>
          </w:p>
        </w:tc>
        <w:tc>
          <w:tcPr>
            <w:tcW w:w="3325"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煤层气井排采控制技术发展现状与展望</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石油钻采工艺</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677" w:hRule="atLeast"/>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5</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en-US" w:eastAsia="zh-CN"/>
              </w:rPr>
              <w:t>共同论文</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赵立平、覃蒙扶、张文胜</w:t>
            </w:r>
          </w:p>
        </w:tc>
        <w:tc>
          <w:tcPr>
            <w:tcW w:w="3325"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沁水盆地南部煤层气 L 型水平井排采技术研究及应用</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煤炭科学技术</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6</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共同论文</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赵立平，樊彬，简阔，刘斌，毛崇昊，李泽州</w:t>
            </w:r>
          </w:p>
        </w:tc>
        <w:tc>
          <w:tcPr>
            <w:tcW w:w="3325"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煤层气井油管气水共排采技术研究</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煤</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Ex>
        <w:trPr>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7</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共同标准</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樊彬，刘斌，毛崇昊，覃蒙扶</w:t>
            </w:r>
          </w:p>
        </w:tc>
        <w:tc>
          <w:tcPr>
            <w:tcW w:w="3325"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煤层气L型水平井排采设备前置维保操作规程</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8</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共同标准</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樊彬，覃蒙扶</w:t>
            </w:r>
          </w:p>
        </w:tc>
        <w:tc>
          <w:tcPr>
            <w:tcW w:w="3325"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煤层气水平井举升工艺设计规范</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jc w:val="center"/>
        </w:trPr>
        <w:tc>
          <w:tcPr>
            <w:tcW w:w="705"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9</w:t>
            </w:r>
          </w:p>
        </w:tc>
        <w:tc>
          <w:tcPr>
            <w:tcW w:w="1164"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en-US" w:eastAsia="zh-CN"/>
              </w:rPr>
              <w:t>共同标准</w:t>
            </w:r>
          </w:p>
        </w:tc>
        <w:tc>
          <w:tcPr>
            <w:tcW w:w="2363"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sz w:val="21"/>
                <w:szCs w:val="21"/>
              </w:rPr>
              <w:t>樊彬，刘斌，毛崇昊，覃蒙扶</w:t>
            </w:r>
          </w:p>
        </w:tc>
        <w:tc>
          <w:tcPr>
            <w:tcW w:w="3325"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煤层气恒流压洗井技术规范</w:t>
            </w:r>
          </w:p>
        </w:tc>
        <w:tc>
          <w:tcPr>
            <w:tcW w:w="1768"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
          <w:bCs w:val="0"/>
          <w:kern w:val="2"/>
          <w:sz w:val="32"/>
          <w:szCs w:val="32"/>
          <w:lang w:val="en-US" w:eastAsia="zh-CN" w:bidi="ar-SA"/>
        </w:rPr>
        <w:t>　　五、项目名称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仿宋_GBK" w:hAnsi="方正仿宋_GBK" w:eastAsia="方正仿宋_GBK" w:cs="方正仿宋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　　</w:t>
      </w:r>
      <w:r>
        <w:rPr>
          <w:rStyle w:val="17"/>
          <w:rFonts w:hint="eastAsia" w:ascii="方正仿宋_GBK" w:hAnsi="方正仿宋_GBK" w:eastAsia="方正仿宋_GBK" w:cs="方正仿宋_GBK"/>
          <w:sz w:val="32"/>
          <w:szCs w:val="32"/>
        </w:rPr>
        <w:t>沁南煤层气田老区增产稳产关键技术与应用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Style w:val="17"/>
          <w:rFonts w:hint="eastAsia" w:ascii="方正仿宋_GBK" w:hAnsi="方正仿宋_GBK" w:eastAsia="方正仿宋_GBK" w:cs="方正仿宋_GBK"/>
          <w:sz w:val="32"/>
          <w:szCs w:val="32"/>
        </w:rPr>
      </w:pPr>
      <w:r>
        <w:rPr>
          <w:rStyle w:val="17"/>
          <w:rFonts w:hint="eastAsia" w:ascii="方正仿宋_GBK" w:hAnsi="方正仿宋_GBK" w:eastAsia="方正仿宋_GBK" w:cs="方正仿宋_GBK"/>
          <w:sz w:val="32"/>
          <w:szCs w:val="32"/>
          <w:lang w:eastAsia="zh-CN"/>
        </w:rPr>
        <w:t>　　</w:t>
      </w:r>
      <w:r>
        <w:rPr>
          <w:rStyle w:val="17"/>
          <w:rFonts w:hint="eastAsia" w:ascii="方正仿宋_GBK" w:hAnsi="方正仿宋_GBK" w:eastAsia="方正仿宋_GBK" w:cs="方正仿宋_GBK"/>
          <w:sz w:val="32"/>
          <w:szCs w:val="32"/>
        </w:rPr>
        <w:t>晋城市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提名单位意见</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Style w:val="17"/>
          <w:rFonts w:hint="eastAsia" w:ascii="方正仿宋_GBK" w:hAnsi="方正仿宋_GBK" w:eastAsia="方正仿宋_GBK" w:cs="方正仿宋_GBK"/>
          <w:sz w:val="32"/>
          <w:szCs w:val="32"/>
          <w:lang w:val="en-US" w:eastAsia="zh-CN"/>
        </w:rPr>
      </w:pPr>
      <w:r>
        <w:rPr>
          <w:rStyle w:val="17"/>
          <w:rFonts w:hint="eastAsia" w:ascii="方正仿宋_GBK" w:hAnsi="方正仿宋_GBK" w:eastAsia="方正仿宋_GBK" w:cs="方正仿宋_GBK"/>
          <w:sz w:val="32"/>
          <w:szCs w:val="32"/>
          <w:lang w:eastAsia="zh-CN"/>
        </w:rPr>
        <w:t>　　拟</w:t>
      </w:r>
      <w:r>
        <w:rPr>
          <w:rStyle w:val="17"/>
          <w:rFonts w:hint="eastAsia" w:ascii="方正仿宋_GBK" w:hAnsi="方正仿宋_GBK" w:eastAsia="方正仿宋_GBK" w:cs="方正仿宋_GBK"/>
          <w:sz w:val="32"/>
          <w:szCs w:val="32"/>
        </w:rPr>
        <w:t>提名参加山西省科技进步</w:t>
      </w:r>
      <w:r>
        <w:rPr>
          <w:rStyle w:val="17"/>
          <w:rFonts w:hint="eastAsia" w:ascii="方正仿宋_GBK" w:hAnsi="方正仿宋_GBK" w:eastAsia="方正仿宋_GBK" w:cs="方正仿宋_GBK"/>
          <w:sz w:val="32"/>
          <w:szCs w:val="32"/>
          <w:lang w:eastAsia="zh-CN"/>
        </w:rPr>
        <w:t>二</w:t>
      </w:r>
      <w:r>
        <w:rPr>
          <w:rStyle w:val="17"/>
          <w:rFonts w:hint="eastAsia" w:ascii="方正仿宋_GBK" w:hAnsi="方正仿宋_GBK" w:eastAsia="方正仿宋_GBK" w:cs="方正仿宋_GBK"/>
          <w:sz w:val="32"/>
          <w:szCs w:val="32"/>
        </w:rPr>
        <w:t>等奖评审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val="0"/>
          <w:bCs w:val="0"/>
          <w:i w:val="0"/>
          <w:iCs w:val="0"/>
          <w:caps w:val="0"/>
          <w:spacing w:val="0"/>
          <w:sz w:val="32"/>
          <w:szCs w:val="32"/>
          <w:highlight w:val="none"/>
          <w:shd w:val="clear" w:color="auto" w:fill="FFFFFF"/>
          <w:lang w:val="en-US" w:eastAsia="zh-CN"/>
        </w:rPr>
      </w:pPr>
      <w:r>
        <w:rPr>
          <w:rFonts w:hint="eastAsia" w:ascii="方正楷体_GBK" w:hAnsi="方正楷体_GBK" w:eastAsia="方正楷体_GBK" w:cs="方正楷体_GBK"/>
          <w:b/>
          <w:bCs w:val="0"/>
          <w:kern w:val="2"/>
          <w:sz w:val="32"/>
          <w:szCs w:val="32"/>
          <w:lang w:val="en-US" w:eastAsia="zh-CN" w:bidi="ar-SA"/>
        </w:rPr>
        <w:t>项目简介</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所属科学技术领域：</w:t>
      </w:r>
      <w:r>
        <w:rPr>
          <w:rFonts w:hint="eastAsia" w:ascii="方正仿宋_GBK" w:hAnsi="方正仿宋_GBK" w:eastAsia="方正仿宋_GBK" w:cs="方正仿宋_GBK"/>
          <w:sz w:val="32"/>
          <w:szCs w:val="32"/>
        </w:rPr>
        <w:t xml:space="preserve">属于油气田开发领域，尤其是高煤阶煤层气提高采收率领域。 </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主要科学技术内容：</w:t>
      </w:r>
      <w:r>
        <w:rPr>
          <w:rFonts w:hint="eastAsia" w:ascii="方正仿宋_GBK" w:hAnsi="方正仿宋_GBK" w:eastAsia="方正仿宋_GBK" w:cs="方正仿宋_GBK"/>
          <w:sz w:val="32"/>
          <w:szCs w:val="32"/>
        </w:rPr>
        <w:t>要实现煤层气老气田中后期增产稳产，需要解决三大科学问题：一是剩余气水赋存状态不明，高效动用机理不清；二是缺乏剩余资源评价方法，精准资源靶向难预测；三是尚未建立高效开发调整技术，难以实现资源有效动用。基于国家自然科学基金、中石油重大专项等科研项目攻关研究，主要取得三项创新成果：一是建立基于纳米CT的宏观煤岩成分、剩余水量化识别技术，定量划分煤层中水的微观赋存类型，揭示了剩余水对剩余气的封堵机制，剩余水高效活化动用增产机制，落实2条增产路径。二是研发了煤储层构造精细解释技术、地应力及裂缝预测技术、不同微构造下动态剩余资源精细刻画技术、井网重构技术，实现老区剩余资源精细刻画、井网全覆盖。三是以提高单井产量和采收率为目标，研发了老井等径侧钻技术、大通径井眼加深技术、多尺度复杂缝网压裂改造技术、水平井半程洗井技术等增产稳产技术系列，充分挖掘老区资源潜力，实现井间剩余资源高效动用。经过鉴定，整体技术达到国际领先水平。</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sz w:val="32"/>
          <w:szCs w:val="32"/>
        </w:rPr>
        <w:t>技术经济指标：</w:t>
      </w:r>
      <w:r>
        <w:rPr>
          <w:rFonts w:hint="eastAsia" w:ascii="方正仿宋_GBK" w:hAnsi="方正仿宋_GBK" w:eastAsia="方正仿宋_GBK" w:cs="方正仿宋_GBK"/>
          <w:sz w:val="32"/>
          <w:szCs w:val="32"/>
        </w:rPr>
        <w:t>开发调整井产能到位率达到90%以上，最高日产气量突破3万方，井均 日产气量达到1万方，实现樊庄-郑庄区块产量翻番，采气速度由1.3%提高至2.0%，预期最终采收率提高10%。授权发明专利12件，发表论文26篇（SCI/EI收录17篇），发 布标准1项，专著1部，软著4件。</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方正楷体_GBK" w:hAnsi="方正楷体_GBK" w:eastAsia="方正楷体_GBK" w:cs="方正楷体_GBK"/>
          <w:b w:val="0"/>
          <w:bCs w:val="0"/>
          <w:sz w:val="32"/>
          <w:szCs w:val="32"/>
          <w:highlight w:val="none"/>
          <w:lang w:eastAsia="zh-CN"/>
        </w:rPr>
      </w:pPr>
      <w:r>
        <w:rPr>
          <w:rFonts w:hint="eastAsia" w:ascii="方正仿宋_GBK" w:hAnsi="方正仿宋_GBK" w:eastAsia="方正仿宋_GBK" w:cs="方正仿宋_GBK"/>
          <w:b/>
          <w:sz w:val="32"/>
          <w:szCs w:val="32"/>
        </w:rPr>
        <w:t>促进行业科技进步作用：</w:t>
      </w:r>
      <w:r>
        <w:rPr>
          <w:rFonts w:hint="eastAsia" w:ascii="方正仿宋_GBK" w:hAnsi="方正仿宋_GBK" w:eastAsia="方正仿宋_GBK" w:cs="方正仿宋_GBK"/>
          <w:sz w:val="32"/>
          <w:szCs w:val="32"/>
        </w:rPr>
        <w:t>建成了国内最大的中浅层煤层气示范基地，树立了煤层气行业高效开发典范，降低了煤炭开采瓦斯灾害，助力山西省能源革命综合改革，对我国煤层气产业健康快速发展起到推动示范作用</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客观评价</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方正楷体_GBK" w:hAnsi="方正楷体_GBK" w:eastAsia="方正楷体_GBK" w:cs="方正楷体_GBK"/>
          <w:b/>
          <w:sz w:val="32"/>
          <w:szCs w:val="32"/>
        </w:rPr>
      </w:pPr>
      <w:r>
        <w:rPr>
          <w:rFonts w:hint="eastAsia" w:ascii="方正仿宋_GBK" w:hAnsi="方正仿宋_GBK" w:eastAsia="方正仿宋_GBK" w:cs="方正仿宋_GBK"/>
          <w:color w:val="000000"/>
          <w:sz w:val="32"/>
          <w:szCs w:val="32"/>
        </w:rPr>
        <w:t>经国家一级查新机构查新，创新成果在国内外文献中未见相同报道。经煤层气知名专家鉴定，项目研究成果整体技术达到国际领先水平。</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推广应用情况</w:t>
      </w:r>
    </w:p>
    <w:p>
      <w:pPr>
        <w:spacing w:line="276"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2017-2025年，支撑樊庄-郑庄区块开发调整10亿方，实施调整井位839口；2022-2025年，在长治、安泽区块实施56口调整井，实现老区剩余资源高效动用。截止2025年底，累增气量44.66亿方，新增利润28.90亿元。由于技术成果具有很强的工业化复制性，可推广应用至各煤层气开发企业。降低了煤炭开采瓦斯灾害，助力山西省能源革命综合改革，对我国煤层气产业健康快速发展起到推动示范作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主要知识产权证明目录</w:t>
      </w:r>
    </w:p>
    <w:tbl>
      <w:tblPr>
        <w:tblStyle w:val="8"/>
        <w:tblW w:w="5166"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10"/>
        <w:gridCol w:w="3749"/>
        <w:gridCol w:w="1470"/>
        <w:gridCol w:w="1201"/>
        <w:gridCol w:w="201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知识产权具体名称</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知识产权类别</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国（区）别</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授权号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煤层气开采方法</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2020 1 1278884.9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煤层气水平井的开采工艺</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2020 1 1320267.0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一种防邻井压裂干扰方法</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2023 1 0842761.0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一种支撑剂嵌入对煤宏细观结构破坏的多维定量表征方法</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2023 1 1650745.8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非平衡状态下煤岩三重孔隙变形耦合规律的测试方法</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2021 1 0080578.2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一种测量双重孔隙煤岩基质系统Biot系数的测试方法</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2022 1 1418840.0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煤层气井生产潜力确定方法、装置、设备及存储介质</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2020 1 1456357.2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煤层气井的排水参数的确定方法、装置、设备和存储介质</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2021 1 0511418.9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煤层气隐蔽不正常井生产状态判识方法及装置</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kern w:val="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2021 1 0742823.1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一种确定煤层气多层合采井各层井底流压的装置及其方法</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kern w:val="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2023 1 0742915.9</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煤层气井重复压裂方法、装置、电子设备及存储介质</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2024 1 0837706.7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90" w:hRule="atLeast"/>
          <w:jc w:val="center"/>
        </w:trPr>
        <w:tc>
          <w:tcPr>
            <w:tcW w:w="71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pStyle w:val="13"/>
              <w:spacing w:line="240" w:lineRule="auto"/>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374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一种煤层气L型上倾水平井半程洗井装置及洗井方法</w:t>
            </w:r>
          </w:p>
        </w:tc>
        <w:tc>
          <w:tcPr>
            <w:tcW w:w="147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color w:val="000000"/>
                <w:sz w:val="21"/>
                <w:szCs w:val="21"/>
              </w:rPr>
              <w:t>发明专利</w:t>
            </w:r>
          </w:p>
        </w:tc>
        <w:tc>
          <w:tcPr>
            <w:tcW w:w="120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中国</w:t>
            </w:r>
          </w:p>
        </w:tc>
        <w:tc>
          <w:tcPr>
            <w:tcW w:w="2019"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ZL 2023 1 0839048.0</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right="0" w:rightChars="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主要完成人情况</w:t>
      </w:r>
    </w:p>
    <w:tbl>
      <w:tblPr>
        <w:tblStyle w:val="8"/>
        <w:tblW w:w="9141"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729"/>
        <w:gridCol w:w="973"/>
        <w:gridCol w:w="2149"/>
        <w:gridCol w:w="4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exact"/>
        </w:trPr>
        <w:tc>
          <w:tcPr>
            <w:tcW w:w="608"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729"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姓名</w:t>
            </w:r>
          </w:p>
        </w:tc>
        <w:tc>
          <w:tcPr>
            <w:tcW w:w="973"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技术职称</w:t>
            </w:r>
          </w:p>
        </w:tc>
        <w:tc>
          <w:tcPr>
            <w:tcW w:w="2149"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工作单位</w:t>
            </w:r>
          </w:p>
        </w:tc>
        <w:tc>
          <w:tcPr>
            <w:tcW w:w="4682" w:type="dxa"/>
            <w:noWrap w:val="0"/>
            <w:tcMar>
              <w:left w:w="6" w:type="dxa"/>
              <w:right w:w="6" w:type="dxa"/>
            </w:tcMar>
            <w:vAlign w:val="center"/>
          </w:tcPr>
          <w:p>
            <w:pPr>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对成果创造性贡献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张聪</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全面负责技术研发及现场推广应用。创新提出井网重构技术，最大最优控制井间剩余资源，实现整体低采出程度区、局部低采气速度区、局部井间未控制储量区产量大幅提升；研发开发老区构造精细解释技术。对创新点二、三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2"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申建</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教授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中国矿业大学</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负责组织开展室内相关试验，建立纳米CT扫描下的煤中宏观煤岩成分、剩余水量化识别技术，对煤层中水的微观赋存状态进行分类，揭示剩余水对剩余气的封堵机制，对创新点一有突出贡献。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3"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刘春春</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开展地应力方向及裂缝特征预测，界定剩余资源类型；开展煤层气井压力扩展、气水产出数值模拟，建立基于生产数据反演井网内剩余含气量预测方法，形成不同微观构造下的动态剩余资源精细刻画技术。对创新点二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贾慧敏</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针对局部井网不完善区不具备部署长水平井的剩余资源，研发老井等径侧钻技术，实现资源极限动用；针对高采出程度区研发大通径井眼加深技术，实现下套资源充分动用。对创新点三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5</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杨延辉</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中国石油天然气股份有限公司华北油田分公司</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参与项目研究工作，对技术成果的先进性把关。提出了剩余水活化动用增产机理，落实了协同极限降压、充分降低毛管压力2条增产路径，支撑后续开发调整技术研发及现场应用。对创新点一有突出贡献。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6</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李梦溪</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正高级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中国石油天然气股份有限公司华北油田分公司</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参与项目研究工作，剖析前期开发井低产低效原因，明确储层改造关键因素，提出“人造气藏”大规模体积压裂理念，研发多尺度复杂缝网改造技术。对创新点三有突出贡献。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7</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韩磊</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副教授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参与项目研究工作，研发了纳米CT扫描下的宏观煤岩和剩余水量化识别技术。对创新点一有突出贡献。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0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8</w:t>
            </w:r>
          </w:p>
        </w:tc>
        <w:tc>
          <w:tcPr>
            <w:tcW w:w="729"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Style w:val="17"/>
                <w:rFonts w:hint="eastAsia" w:asciiTheme="minorEastAsia" w:hAnsiTheme="minorEastAsia" w:eastAsiaTheme="minorEastAsia" w:cstheme="minorEastAsia"/>
                <w:sz w:val="21"/>
                <w:szCs w:val="21"/>
              </w:rPr>
              <w:t>桑广杰</w:t>
            </w:r>
          </w:p>
        </w:tc>
        <w:tc>
          <w:tcPr>
            <w:tcW w:w="973" w:type="dxa"/>
            <w:noWrap w:val="0"/>
            <w:tcMar>
              <w:left w:w="6" w:type="dxa"/>
              <w:right w:w="6" w:type="dxa"/>
            </w:tcMar>
            <w:vAlign w:val="center"/>
          </w:tcPr>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高级</w:t>
            </w:r>
          </w:p>
          <w:p>
            <w:pPr>
              <w:spacing w:line="276" w:lineRule="auto"/>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工程师</w:t>
            </w:r>
          </w:p>
        </w:tc>
        <w:tc>
          <w:tcPr>
            <w:tcW w:w="2149"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4682" w:type="dxa"/>
            <w:noWrap w:val="0"/>
            <w:tcMar>
              <w:left w:w="6" w:type="dxa"/>
              <w:right w:w="6" w:type="dxa"/>
            </w:tcMar>
            <w:vAlign w:val="center"/>
          </w:tcPr>
          <w:p>
            <w:pPr>
              <w:jc w:val="left"/>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参与项目研究工作，研发了地应力方向及裂缝特征预测技术，精细刻画不同构造部位地应力大小和方向的分布规律，指导井位部署和井轨迹设计。对创新点二有突出贡献。</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lang w:eastAsia="zh-CN"/>
        </w:rPr>
      </w:pPr>
      <w:r>
        <w:rPr>
          <w:rFonts w:hint="eastAsia" w:ascii="方正楷体_GBK" w:hAnsi="方正楷体_GBK" w:eastAsia="方正楷体_GBK" w:cs="方正楷体_GBK"/>
          <w:b/>
          <w:bCs/>
          <w:sz w:val="32"/>
          <w:szCs w:val="32"/>
          <w:highlight w:val="none"/>
        </w:rPr>
        <w:t>主要完成单位及创新推广贡献</w:t>
      </w:r>
    </w:p>
    <w:tbl>
      <w:tblPr>
        <w:tblStyle w:val="8"/>
        <w:tblW w:w="9183"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1980"/>
        <w:gridCol w:w="6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w:t>
            </w:r>
          </w:p>
        </w:tc>
        <w:tc>
          <w:tcPr>
            <w:tcW w:w="198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中国石油天然气股份有限公司山西煤层气勘探开发分公司</w:t>
            </w:r>
          </w:p>
        </w:tc>
        <w:tc>
          <w:tcPr>
            <w:tcW w:w="6325" w:type="dxa"/>
            <w:noWrap w:val="0"/>
            <w:tcMar>
              <w:left w:w="6" w:type="dxa"/>
              <w:right w:w="6" w:type="dxa"/>
            </w:tcMar>
            <w:vAlign w:val="center"/>
          </w:tcPr>
          <w:p>
            <w:pPr>
              <w:ind w:left="36" w:leftChars="17" w:right="53" w:rightChars="25" w:firstLine="16" w:firstLineChars="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项目牵头单位，对项目的技术思路、主要研究内容、成果转化和成果推广应用全面负责。在剩余甲烷气体赋存状态及增产机理、剩余资源潜力评价、井间剩余资源高效开发调整等三方面取得纳米CT 扫描下的煤中宏观煤岩成分和剩余水量化识别技术、煤储层构造精细解释技术、地应力方向及裂缝特征预测技术、不同微构造下的动态剩余资源精细刻画技术、井网重构技术、老井等径侧钻技术、大通径井眼加深技术、多尺度复杂缝网改造技术、水平井半程洗井技术等9项技术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w:t>
            </w:r>
          </w:p>
        </w:tc>
        <w:tc>
          <w:tcPr>
            <w:tcW w:w="198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中国石油天然气股份有限公司华北油田分公司</w:t>
            </w:r>
          </w:p>
        </w:tc>
        <w:tc>
          <w:tcPr>
            <w:tcW w:w="6325" w:type="dxa"/>
            <w:noWrap w:val="0"/>
            <w:tcMar>
              <w:left w:w="6" w:type="dxa"/>
              <w:right w:w="6" w:type="dxa"/>
            </w:tcMar>
            <w:vAlign w:val="center"/>
          </w:tcPr>
          <w:p>
            <w:pPr>
              <w:ind w:left="36" w:leftChars="17" w:right="38" w:rightChars="18" w:firstLine="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对技术成果的先进性把关。提出了剩余水活化动用增产机理，落实了协同极限降压、充分降低毛管压力2条增产路径，支撑后续开发调整技术研发及现场应用。剖析前期开发井低产低效原因，明确储层改造关键因素，提出“人造气藏”大规模体积压裂理念，研发多尺度复杂缝网改造技术。对创新点一、三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w:t>
            </w:r>
          </w:p>
        </w:tc>
        <w:tc>
          <w:tcPr>
            <w:tcW w:w="198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中国矿业大学</w:t>
            </w:r>
          </w:p>
        </w:tc>
        <w:tc>
          <w:tcPr>
            <w:tcW w:w="6325" w:type="dxa"/>
            <w:noWrap w:val="0"/>
            <w:tcMar>
              <w:left w:w="6" w:type="dxa"/>
              <w:right w:w="6" w:type="dxa"/>
            </w:tcMar>
            <w:vAlign w:val="center"/>
          </w:tcPr>
          <w:p>
            <w:pPr>
              <w:ind w:left="8" w:leftChars="4" w:right="38" w:rightChars="18" w:firstLine="1"/>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负责组织开展室内相关试验，建立纳米CT扫描下的煤中宏观煤岩成分、剩余水量化识别技术，对煤层中水的微观赋存状态进行分类，揭示剩余水对剩余气的封堵机制，对创新点一有突出贡献。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878" w:type="dxa"/>
            <w:noWrap w:val="0"/>
            <w:tcMar>
              <w:left w:w="6" w:type="dxa"/>
              <w:right w:w="6" w:type="dxa"/>
            </w:tcMar>
            <w:vAlign w:val="center"/>
          </w:tcPr>
          <w:p>
            <w:pPr>
              <w:tabs>
                <w:tab w:val="left" w:pos="-129"/>
              </w:tabs>
              <w:spacing w:line="276" w:lineRule="auto"/>
              <w:ind w:left="-104" w:leftChars="-50" w:right="-40" w:rightChars="-19" w:hanging="1"/>
              <w:contextualSpacing/>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w:t>
            </w:r>
          </w:p>
        </w:tc>
        <w:tc>
          <w:tcPr>
            <w:tcW w:w="1980" w:type="dxa"/>
            <w:noWrap w:val="0"/>
            <w:tcMar>
              <w:left w:w="6" w:type="dxa"/>
              <w:right w:w="6" w:type="dxa"/>
            </w:tcMar>
            <w:vAlign w:val="center"/>
          </w:tcPr>
          <w:p>
            <w:pPr>
              <w:contextualSpacing/>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河南理工大学</w:t>
            </w:r>
          </w:p>
        </w:tc>
        <w:tc>
          <w:tcPr>
            <w:tcW w:w="6325" w:type="dxa"/>
            <w:noWrap w:val="0"/>
            <w:tcMar>
              <w:left w:w="6" w:type="dxa"/>
              <w:right w:w="6" w:type="dxa"/>
            </w:tcMar>
            <w:vAlign w:val="center"/>
          </w:tcPr>
          <w:p>
            <w:pPr>
              <w:ind w:left="21" w:leftChars="10" w:right="38" w:rightChars="18"/>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参与项目研究工作，研发了纳米CT扫描下的宏观煤岩和剩余水量化识别技术。对创新点一有突出贡献。</w:t>
            </w:r>
          </w:p>
        </w:tc>
      </w:tr>
    </w:tbl>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color w:val="auto"/>
          <w:sz w:val="32"/>
          <w:szCs w:val="32"/>
        </w:rPr>
        <w:t>完成人合作关系说明</w:t>
      </w:r>
    </w:p>
    <w:tbl>
      <w:tblPr>
        <w:tblStyle w:val="8"/>
        <w:tblW w:w="90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0"/>
        <w:gridCol w:w="693"/>
        <w:gridCol w:w="1907"/>
        <w:gridCol w:w="4134"/>
        <w:gridCol w:w="15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8" w:hRule="exact"/>
          <w:jc w:val="center"/>
        </w:trPr>
        <w:tc>
          <w:tcPr>
            <w:tcW w:w="770"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序号</w:t>
            </w:r>
          </w:p>
        </w:tc>
        <w:tc>
          <w:tcPr>
            <w:tcW w:w="693"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合作方式</w:t>
            </w:r>
          </w:p>
        </w:tc>
        <w:tc>
          <w:tcPr>
            <w:tcW w:w="1907"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合作者</w:t>
            </w:r>
          </w:p>
        </w:tc>
        <w:tc>
          <w:tcPr>
            <w:tcW w:w="4134"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合作成果</w:t>
            </w:r>
          </w:p>
        </w:tc>
        <w:tc>
          <w:tcPr>
            <w:tcW w:w="1581" w:type="dxa"/>
            <w:noWrap w:val="0"/>
            <w:vAlign w:val="center"/>
          </w:tcPr>
          <w:p>
            <w:pPr>
              <w:spacing w:before="156" w:beforeLines="50" w:after="156" w:afterLines="50"/>
              <w:jc w:val="center"/>
              <w:rPr>
                <w:rFonts w:hint="eastAsia" w:asciiTheme="minorEastAsia" w:hAnsiTheme="minorEastAsia" w:eastAsiaTheme="minorEastAsia" w:cstheme="minorEastAsia"/>
                <w:b/>
                <w:color w:val="0D0D0D"/>
                <w:sz w:val="21"/>
                <w:szCs w:val="21"/>
              </w:rPr>
            </w:pPr>
            <w:r>
              <w:rPr>
                <w:rFonts w:hint="eastAsia" w:asciiTheme="minorEastAsia" w:hAnsiTheme="minorEastAsia" w:eastAsiaTheme="minorEastAsia" w:cstheme="minorEastAsia"/>
                <w:b/>
                <w:color w:val="0D0D0D"/>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1</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共同成果</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张聪、</w:t>
            </w:r>
            <w:r>
              <w:rPr>
                <w:rFonts w:hint="eastAsia" w:asciiTheme="minorEastAsia" w:hAnsiTheme="minorEastAsia" w:eastAsiaTheme="minorEastAsia" w:cstheme="minorEastAsia"/>
                <w:kern w:val="0"/>
                <w:sz w:val="21"/>
                <w:szCs w:val="21"/>
              </w:rPr>
              <w:t>申建、刘春春、贾慧敏、杨延辉、李梦溪、韩磊、桑广杰</w:t>
            </w:r>
          </w:p>
        </w:tc>
        <w:tc>
          <w:tcPr>
            <w:tcW w:w="4134"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沁南煤层气田老区增产稳产关键技术与应用</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国际领先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2</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合作项目</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张聪、</w:t>
            </w:r>
            <w:r>
              <w:rPr>
                <w:rFonts w:hint="eastAsia" w:asciiTheme="minorEastAsia" w:hAnsiTheme="minorEastAsia" w:eastAsiaTheme="minorEastAsia" w:cstheme="minorEastAsia"/>
                <w:kern w:val="0"/>
                <w:sz w:val="21"/>
                <w:szCs w:val="21"/>
              </w:rPr>
              <w:t>贾慧敏、刘春春、申建</w:t>
            </w:r>
          </w:p>
        </w:tc>
        <w:tc>
          <w:tcPr>
            <w:tcW w:w="4134"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沁南煤层气田煤储层精细研究</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highlight w:val="yellow"/>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3</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共同专利</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张聪、贾慧敏、刘春春</w:t>
            </w:r>
          </w:p>
        </w:tc>
        <w:tc>
          <w:tcPr>
            <w:tcW w:w="4134"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一种防邻井压裂干扰方法</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有效专利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4</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共同专利</w:t>
            </w:r>
          </w:p>
        </w:tc>
        <w:tc>
          <w:tcPr>
            <w:tcW w:w="1907" w:type="dxa"/>
            <w:noWrap w:val="0"/>
            <w:vAlign w:val="center"/>
          </w:tcPr>
          <w:p>
            <w:pPr>
              <w:autoSpaceDE w:val="0"/>
              <w:autoSpaceDN w:val="0"/>
              <w:adjustRightInd w:val="0"/>
              <w:jc w:val="both"/>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张聪、刘春春</w:t>
            </w:r>
          </w:p>
        </w:tc>
        <w:tc>
          <w:tcPr>
            <w:tcW w:w="4134"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煤层气井生产潜力确定方法、装置、设备及存储介质</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有效专利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5</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共同专利</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张聪、刘春春</w:t>
            </w:r>
          </w:p>
        </w:tc>
        <w:tc>
          <w:tcPr>
            <w:tcW w:w="4134"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煤层气井的排水参数的确定方法、装置、设备和存储介质</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有效专利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6</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共同专利</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张聪、贾慧敏、刘春春</w:t>
            </w:r>
          </w:p>
        </w:tc>
        <w:tc>
          <w:tcPr>
            <w:tcW w:w="4134"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一种煤层气L型上倾水平井半程洗井装置及洗井方法</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有效专利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7</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共同专利</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贾慧敏、张聪、刘春春</w:t>
            </w:r>
          </w:p>
        </w:tc>
        <w:tc>
          <w:tcPr>
            <w:tcW w:w="4134" w:type="dxa"/>
            <w:noWrap w:val="0"/>
            <w:vAlign w:val="center"/>
          </w:tcPr>
          <w:p>
            <w:pPr>
              <w:autoSpaceDE w:val="0"/>
              <w:autoSpaceDN w:val="0"/>
              <w:adjustRightInd w:val="0"/>
              <w:jc w:val="left"/>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一种确定煤层气多层合采井各层井底流压的装置及其方法</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有效专利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8</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韩磊、申建</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The analysis of the micro-occurrence state of irreducible water in anthracite fracture network based on digital core</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AAPG Bulletin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9</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张聪、贾慧敏、桑广杰</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Geological Engineering Property Heterogeneity and Productivity Control Models of Coalbed Methane in the MB Area in the Southern Qinshui Basin</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Processes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10</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韩磊、申建</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Influence of Viscous and Capillary Forces on Residual Water in Anthracite Fracture Networks</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Natural Resources research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11</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韩磊、申建</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Characteristics of a Multi-scale Fracture Network and Its Contributions to Flow Properties in Anthracite</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Energy fuels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12</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张聪、刘春春、贾慧敏、桑广杰</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The Gas Production Characteristics of No. 3 Coal Seam Coalbed Methane Well in the Zhengbei Block and the Optimization of Favorable Development Areas</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Processes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13</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张聪、贾慧敏</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郑庄北中深部煤层气水平井产能影响因素及开发技术优化</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煤田地质与</w:t>
            </w:r>
          </w:p>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14</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张聪、李梦溪、贾慧敏</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沁水盆地南部中深部煤层气储层特征及开发技术对策</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煤田地质与勘探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15</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张聪、桑广杰、贾慧敏</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郑庄区块岩石力学特征对压裂的影响及开发对策</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煤炭科学技术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16</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 xml:space="preserve">张聪、刘春春、桑广杰 </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沁南郑庄区块煤层气水平井采收率预测及提高对策</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煤炭科学技术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17</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贾慧敏、刘春春</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高阶煤煤层气井产量递减规律及影响因素</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煤田地质与</w:t>
            </w:r>
          </w:p>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18</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杨延辉、张聪</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煤层气水平井井距优化技术</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煤田地质与</w:t>
            </w:r>
          </w:p>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勘探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19</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申建、韩磊</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基于CT图像的高阶煤不同宏观煤岩组分裂隙差异发育规律</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天然气工业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lang w:val="en-US" w:eastAsia="zh-CN"/>
              </w:rPr>
              <w:t>0</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张聪、桑广杰</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高阶煤储层地应力特征对煤层气开发的影响</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石油钻采工艺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lang w:val="en-US" w:eastAsia="zh-CN"/>
              </w:rPr>
              <w:t>1</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刘春春、张聪、贾慧敏</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流体产出特征评价方法预测高阶煤储层产能</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石油钻采工艺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lang w:val="en-US" w:eastAsia="zh-CN"/>
              </w:rPr>
              <w:t>2</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张聪、刘春春、贾慧敏</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煤层气低产井高效盘活管理做法</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煤炭技术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lang w:val="en-US" w:eastAsia="zh-CN"/>
              </w:rPr>
              <w:t>3</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张聪、刘春春</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沁水盆地南部煤层气水平井射孔优化</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新疆石油地质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lang w:val="en-US" w:eastAsia="zh-CN"/>
              </w:rPr>
              <w:t>4</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共同论文</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张聪、贾慧敏、刘春春</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煤层气筛管水平井低产原因分析和治理对策研究</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中国煤层气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lang w:val="en-US" w:eastAsia="zh-CN"/>
              </w:rPr>
              <w:t>5</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共同专著</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张聪、刘春春</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煤层气生产动态分析</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中国石油大学出版社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0"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zh-CN"/>
              </w:rPr>
              <w:t>2</w:t>
            </w:r>
            <w:r>
              <w:rPr>
                <w:rFonts w:hint="eastAsia" w:asciiTheme="minorEastAsia" w:hAnsiTheme="minorEastAsia" w:eastAsiaTheme="minorEastAsia" w:cstheme="minorEastAsia"/>
                <w:kern w:val="0"/>
                <w:sz w:val="21"/>
                <w:szCs w:val="21"/>
                <w:lang w:val="en-US" w:eastAsia="zh-CN"/>
              </w:rPr>
              <w:t>6</w:t>
            </w:r>
          </w:p>
        </w:tc>
        <w:tc>
          <w:tcPr>
            <w:tcW w:w="693"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lang w:val="zh-CN"/>
              </w:rPr>
            </w:pPr>
            <w:r>
              <w:rPr>
                <w:rFonts w:hint="eastAsia" w:asciiTheme="minorEastAsia" w:hAnsiTheme="minorEastAsia" w:eastAsiaTheme="minorEastAsia" w:cstheme="minorEastAsia"/>
                <w:kern w:val="0"/>
                <w:sz w:val="21"/>
                <w:szCs w:val="21"/>
                <w:lang w:val="zh-CN"/>
              </w:rPr>
              <w:t>共同标准</w:t>
            </w:r>
          </w:p>
        </w:tc>
        <w:tc>
          <w:tcPr>
            <w:tcW w:w="1907"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张聪、贾慧敏、刘春春</w:t>
            </w:r>
          </w:p>
        </w:tc>
        <w:tc>
          <w:tcPr>
            <w:tcW w:w="4134" w:type="dxa"/>
            <w:noWrap w:val="0"/>
            <w:vAlign w:val="center"/>
          </w:tcPr>
          <w:p>
            <w:pPr>
              <w:autoSpaceDE w:val="0"/>
              <w:autoSpaceDN w:val="0"/>
              <w:adjustRightIn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高煤阶煤层气井低产原因判识方法</w:t>
            </w:r>
          </w:p>
        </w:tc>
        <w:tc>
          <w:tcPr>
            <w:tcW w:w="1581" w:type="dxa"/>
            <w:noWrap w:val="0"/>
            <w:vAlign w:val="center"/>
          </w:tcPr>
          <w:p>
            <w:pPr>
              <w:autoSpaceDE w:val="0"/>
              <w:autoSpaceDN w:val="0"/>
              <w:adjustRightInd w:val="0"/>
              <w:jc w:val="center"/>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企业标准</w:t>
            </w:r>
          </w:p>
        </w:tc>
      </w:tr>
    </w:tbl>
    <w:p>
      <w:pPr>
        <w:pStyle w:val="2"/>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Cs/>
          <w:sz w:val="32"/>
          <w:szCs w:val="32"/>
        </w:rPr>
      </w:pPr>
      <w:r>
        <w:rPr>
          <w:rFonts w:hint="eastAsia" w:ascii="方正楷体_GBK" w:hAnsi="方正楷体_GBK" w:eastAsia="方正楷体_GBK" w:cs="方正楷体_GBK"/>
          <w:b/>
          <w:bCs w:val="0"/>
          <w:kern w:val="2"/>
          <w:sz w:val="32"/>
          <w:szCs w:val="32"/>
          <w:lang w:val="en-US" w:eastAsia="zh-CN" w:bidi="ar-SA"/>
        </w:rPr>
        <w:t>　　六、项目名称</w:t>
      </w:r>
    </w:p>
    <w:p>
      <w:pPr>
        <w:adjustRightInd w:val="0"/>
        <w:snapToGrid w:val="0"/>
        <w:spacing w:line="560" w:lineRule="exact"/>
        <w:ind w:firstLine="640" w:firstLineChars="200"/>
        <w:rPr>
          <w:rFonts w:hint="eastAsia" w:ascii="方正楷体_GBK" w:hAnsi="方正楷体_GBK" w:eastAsia="方正楷体_GBK" w:cs="方正楷体_GBK"/>
          <w:b/>
          <w:bCs w:val="0"/>
          <w:kern w:val="2"/>
          <w:sz w:val="32"/>
          <w:szCs w:val="32"/>
          <w:lang w:val="en-US" w:eastAsia="zh-CN" w:bidi="ar-SA"/>
        </w:rPr>
      </w:pPr>
      <w:r>
        <w:rPr>
          <w:rFonts w:hint="eastAsia" w:ascii="仿宋_GB2312" w:hAnsi="Times New Roman" w:eastAsia="仿宋_GB2312"/>
          <w:sz w:val="32"/>
          <w:szCs w:val="32"/>
          <w:lang w:val="en-US" w:eastAsia="zh-CN"/>
        </w:rPr>
        <w:t>国产自主可控高可靠边缘智控主板研制与产业化示范应用</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　　提名单位</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晋城市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val="0"/>
          <w:kern w:val="2"/>
          <w:sz w:val="32"/>
          <w:szCs w:val="32"/>
          <w:lang w:val="en-US" w:eastAsia="zh-CN" w:bidi="ar-SA"/>
        </w:rPr>
      </w:pPr>
      <w:r>
        <w:rPr>
          <w:rFonts w:hint="eastAsia" w:ascii="方正楷体_GBK" w:hAnsi="方正楷体_GBK" w:eastAsia="方正楷体_GBK" w:cs="方正楷体_GBK"/>
          <w:b/>
          <w:bCs w:val="0"/>
          <w:kern w:val="2"/>
          <w:sz w:val="32"/>
          <w:szCs w:val="32"/>
          <w:lang w:val="en-US" w:eastAsia="zh-CN" w:bidi="ar-SA"/>
        </w:rPr>
        <w:t>提名单位意见</w:t>
      </w:r>
    </w:p>
    <w:p>
      <w:pPr>
        <w:keepNext w:val="0"/>
        <w:keepLines w:val="0"/>
        <w:pageBreakBefore w:val="0"/>
        <w:kinsoku/>
        <w:wordWrap/>
        <w:overflowPunct/>
        <w:topLinePunct w:val="0"/>
        <w:autoSpaceDE/>
        <w:autoSpaceDN/>
        <w:bidi w:val="0"/>
        <w:adjustRightInd/>
        <w:spacing w:beforeAutospacing="0" w:afterAutospacing="0" w:line="560" w:lineRule="exact"/>
        <w:ind w:left="0" w:leftChars="0" w:right="0" w:rightChars="0" w:firstLine="640" w:firstLineChars="200"/>
        <w:jc w:val="both"/>
        <w:textAlignment w:val="auto"/>
        <w:rPr>
          <w:rFonts w:hint="eastAsia" w:ascii="方正仿宋_GBK" w:hAnsi="方正仿宋_GBK" w:eastAsia="方正仿宋_GBK" w:cs="方正仿宋_GBK"/>
          <w:b/>
          <w:bCs w:val="0"/>
          <w:kern w:val="2"/>
          <w:sz w:val="32"/>
          <w:szCs w:val="32"/>
          <w:lang w:val="en-US" w:eastAsia="zh-CN" w:bidi="ar-SA"/>
        </w:rPr>
      </w:pPr>
      <w:r>
        <w:rPr>
          <w:rFonts w:hint="eastAsia" w:ascii="方正仿宋_GBK" w:hAnsi="方正仿宋_GBK" w:eastAsia="方正仿宋_GBK" w:cs="方正仿宋_GBK"/>
          <w:color w:val="000000"/>
          <w:sz w:val="32"/>
          <w:szCs w:val="32"/>
          <w:lang w:eastAsia="zh-CN"/>
        </w:rPr>
        <w:t>拟</w:t>
      </w:r>
      <w:r>
        <w:rPr>
          <w:rFonts w:hint="eastAsia" w:ascii="方正仿宋_GBK" w:hAnsi="方正仿宋_GBK" w:eastAsia="方正仿宋_GBK" w:cs="方正仿宋_GBK"/>
          <w:color w:val="000000"/>
          <w:sz w:val="32"/>
          <w:szCs w:val="32"/>
        </w:rPr>
        <w:t>提名参加山西省</w:t>
      </w:r>
      <w:r>
        <w:rPr>
          <w:rFonts w:hint="eastAsia" w:ascii="方正仿宋_GBK" w:hAnsi="方正仿宋_GBK" w:eastAsia="方正仿宋_GBK" w:cs="方正仿宋_GBK"/>
          <w:sz w:val="32"/>
          <w:szCs w:val="32"/>
        </w:rPr>
        <w:t>科技进步</w:t>
      </w:r>
      <w:r>
        <w:rPr>
          <w:rFonts w:hint="eastAsia" w:ascii="方正仿宋_GBK" w:hAnsi="方正仿宋_GBK" w:eastAsia="方正仿宋_GBK" w:cs="方正仿宋_GBK"/>
          <w:sz w:val="32"/>
          <w:szCs w:val="32"/>
          <w:lang w:eastAsia="zh-CN"/>
        </w:rPr>
        <w:t>二</w:t>
      </w:r>
      <w:r>
        <w:rPr>
          <w:rFonts w:hint="eastAsia" w:ascii="方正仿宋_GBK" w:hAnsi="方正仿宋_GBK" w:eastAsia="方正仿宋_GBK" w:cs="方正仿宋_GBK"/>
          <w:sz w:val="32"/>
          <w:szCs w:val="32"/>
        </w:rPr>
        <w:t>等奖</w:t>
      </w:r>
      <w:r>
        <w:rPr>
          <w:rFonts w:hint="eastAsia" w:ascii="方正仿宋_GBK" w:hAnsi="方正仿宋_GBK" w:eastAsia="方正仿宋_GBK" w:cs="方正仿宋_GBK"/>
          <w:color w:val="000000"/>
          <w:sz w:val="32"/>
          <w:szCs w:val="32"/>
        </w:rPr>
        <w:t>评审</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val="0"/>
          <w:bCs w:val="0"/>
          <w:i w:val="0"/>
          <w:iCs w:val="0"/>
          <w:caps w:val="0"/>
          <w:spacing w:val="0"/>
          <w:sz w:val="32"/>
          <w:szCs w:val="32"/>
          <w:highlight w:val="none"/>
          <w:shd w:val="clear" w:color="auto" w:fill="FFFFFF"/>
          <w:lang w:val="en-US" w:eastAsia="zh-CN"/>
        </w:rPr>
      </w:pPr>
      <w:r>
        <w:rPr>
          <w:rFonts w:hint="eastAsia" w:ascii="方正楷体_GBK" w:hAnsi="方正楷体_GBK" w:eastAsia="方正楷体_GBK" w:cs="方正楷体_GBK"/>
          <w:b/>
          <w:bCs w:val="0"/>
          <w:kern w:val="2"/>
          <w:sz w:val="32"/>
          <w:szCs w:val="32"/>
          <w:lang w:val="en-US" w:eastAsia="zh-CN" w:bidi="ar-SA"/>
        </w:rPr>
        <w:t>项目简介</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eastAsia" w:ascii="方正楷体_GBK" w:hAnsi="方正楷体_GBK" w:eastAsia="方正楷体_GBK" w:cs="方正楷体_GBK"/>
          <w:b w:val="0"/>
          <w:bCs w:val="0"/>
          <w:sz w:val="32"/>
          <w:szCs w:val="32"/>
          <w:highlight w:val="none"/>
          <w:lang w:eastAsia="zh-CN"/>
        </w:rPr>
      </w:pPr>
      <w:r>
        <w:rPr>
          <w:rFonts w:hint="eastAsia" w:ascii="仿宋_GB2312" w:hAnsi="Times New Roman" w:eastAsia="仿宋_GB2312"/>
          <w:sz w:val="32"/>
          <w:szCs w:val="32"/>
          <w:lang w:val="en-US" w:eastAsia="zh-CN"/>
        </w:rPr>
        <w:t>该项目属于新一代信息技术、工业自动控制交叉领域，针对高端工控主板软硬件长期依赖进口、极端工况稳定性不足、国产软硬件协同性差难题，搭建“国产 ARM+DSP+FPGA” 异构并行边缘智控硬件体系，自主研发原生异构BIOS固件、国产实时操作系统适配内核、硬件级工业实时通信协议栈；创新宽温抗振多层PCB、无风扇被动散热、多级电源防护高可靠硬件方案，提出 DVFS动态功耗调控与多源信号同步采集融合算法，配套智能化SMT量产工艺体系，实现-40℃~+85℃宽温稳定运行、整机空载功耗低于1W，量产不良率控制0.5%以下。成果已智能制造产线、工业物联网网关批量落地，打破海外工控设备技术封锁，提升山西能源重工智能化与产业链自主可控水平，经济、社会、生态效益显著。</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客观评价</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第三方成果评价：项目完成专业机构科技成果评价，专家组认定项目实现从芯片、固件、整机到量产工艺全链路国产化创新，高可靠、硬实时、低功耗综合性能优于国内同类通用工控板，多项技术填补省内信创边缘控制领域空白，整体技术省内领先。</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应用验证评价：多家智能制造、消费电子应用单位出具使用证明，设备可长期适应高湿、强电磁、振动工业现场，大幅降低设备运维与进口替换成本；第三方检测机构出具全套性能检测报告，关键指标均达标并优于行业常规产品。</w:t>
      </w:r>
    </w:p>
    <w:p>
      <w:pPr>
        <w:adjustRightInd w:val="0"/>
        <w:snapToGrid w:val="0"/>
        <w:spacing w:line="560" w:lineRule="exact"/>
        <w:ind w:firstLine="640" w:firstLineChars="200"/>
        <w:rPr>
          <w:rFonts w:hint="eastAsia" w:ascii="方正楷体_GBK" w:hAnsi="方正楷体_GBK" w:eastAsia="方正楷体_GBK" w:cs="方正楷体_GBK"/>
          <w:b/>
          <w:sz w:val="32"/>
          <w:szCs w:val="32"/>
          <w:lang w:eastAsia="zh-CN"/>
        </w:rPr>
      </w:pPr>
      <w:r>
        <w:rPr>
          <w:rFonts w:hint="eastAsia" w:ascii="仿宋_GB2312" w:hAnsi="Times New Roman" w:eastAsia="仿宋_GB2312"/>
          <w:sz w:val="32"/>
          <w:szCs w:val="32"/>
          <w:lang w:val="en-US" w:eastAsia="zh-CN"/>
        </w:rPr>
        <w:t>知识产权评价：项目核心专利均为该项目原始创新，权属清晰无纠纷，形成完整专利组合保护体系。</w:t>
      </w:r>
    </w:p>
    <w:p>
      <w:pPr>
        <w:keepNext w:val="0"/>
        <w:keepLines w:val="0"/>
        <w:pageBreakBefore w:val="0"/>
        <w:wordWrap/>
        <w:overflowPunct/>
        <w:topLinePunct w:val="0"/>
        <w:bidi w:val="0"/>
        <w:spacing w:beforeAutospacing="0" w:afterAutospacing="0" w:line="560" w:lineRule="exact"/>
        <w:ind w:left="0" w:leftChars="0" w:right="0" w:rightChars="0" w:firstLine="642" w:firstLineChars="200"/>
        <w:jc w:val="both"/>
        <w:rPr>
          <w:rFonts w:hint="eastAsia" w:ascii="方正楷体_GBK" w:hAnsi="方正楷体_GBK" w:eastAsia="方正楷体_GBK" w:cs="方正楷体_GBK"/>
          <w:b/>
          <w:bCs w:val="0"/>
          <w:sz w:val="32"/>
          <w:szCs w:val="32"/>
        </w:rPr>
      </w:pPr>
      <w:r>
        <w:rPr>
          <w:rFonts w:hint="eastAsia" w:ascii="方正楷体_GBK" w:hAnsi="方正楷体_GBK" w:eastAsia="方正楷体_GBK" w:cs="方正楷体_GBK"/>
          <w:b/>
          <w:bCs w:val="0"/>
          <w:sz w:val="32"/>
          <w:szCs w:val="32"/>
        </w:rPr>
        <w:t>推广应用情况</w:t>
      </w:r>
    </w:p>
    <w:p>
      <w:pPr>
        <w:adjustRightInd w:val="0"/>
        <w:snapToGrid w:val="0"/>
        <w:spacing w:line="560" w:lineRule="exact"/>
        <w:ind w:firstLine="640" w:firstLineChars="200"/>
        <w:rPr>
          <w:rFonts w:hint="eastAsia"/>
        </w:rPr>
      </w:pPr>
      <w:r>
        <w:rPr>
          <w:rFonts w:hint="eastAsia" w:ascii="仿宋_GB2312" w:hAnsi="Times New Roman" w:eastAsia="仿宋_GB2312"/>
          <w:sz w:val="32"/>
          <w:szCs w:val="32"/>
          <w:lang w:val="en-US" w:eastAsia="zh-CN"/>
        </w:rPr>
        <w:t>项目由山西丰鸿实业股份有限公司完成产业化落地，建成本地智能化SMT量产产线，产品批量供给东莞市爱沛可尔智能科技、山西北菱电梯、江苏高格芯微电子等多家省内外制造企业，应用覆盖高端装备自动化、工业物联网、智能门禁多领域。2023-2025年累计实现新增利润2077.13万元、新增税收484.66万元，大幅降低企业工控设备采购及售后成本30%以上；同时带动本地电子配套产业链发展，形成可复制的国产边缘智控主板产业化方案，为山西传统制造、能源行业数字化、信创转型提供硬件支撑，具备大范围推广价值。</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rPr>
        <w:t>主要知识产权证明目录</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1.发明专利：一种工控板电路板的电变量测试装置及测试方法，ZL202410491750.7</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2.发明专利：基于物联网的智能门锁联合控制系统，ZL202410425857.1</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3.发明专利：一种新型智能门锁齿轮箱电机结构，ZL202410629603.X</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4.发明专利：一种智能人脸识别门锁的控制方法及装置，ZL202310587993.6</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5.发明专利：一种基于空间有序梯度直方图的图像匹配方法，ZL202111376034.7</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6.发明专利：用于电解铜锁体生产的表面打磨装置及表面处理工艺，ZL202511021750.1</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7.发明专利:一种基于空间有序梯度直方图的图像匹配方法，ZL202111376034.7</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8.基于共现滤波与方向梯度直方图多模态遥感影像配准方法，ZL202411506912.6</w:t>
      </w:r>
    </w:p>
    <w:p>
      <w:pPr>
        <w:adjustRightInd w:val="0"/>
        <w:snapToGrid w:val="0"/>
        <w:spacing w:line="560" w:lineRule="exact"/>
        <w:ind w:firstLine="640" w:firstLineChars="200"/>
        <w:rPr>
          <w:rFonts w:hint="eastAsia"/>
        </w:rPr>
      </w:pPr>
      <w:r>
        <w:rPr>
          <w:rFonts w:hint="eastAsia" w:ascii="仿宋_GB2312" w:hAnsi="Times New Roman" w:eastAsia="仿宋_GB2312"/>
          <w:sz w:val="32"/>
          <w:szCs w:val="32"/>
          <w:lang w:val="en-US" w:eastAsia="zh-CN"/>
        </w:rPr>
        <w:t>9.实用新型专利、计算机软件著作权若干(详见附件知识产权全套证书)全部知识产权权属为本项目完成单位共有，无质押、转让、权属争议，均用于本项目核心技术支撑。</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
          <w:bCs/>
          <w:sz w:val="32"/>
          <w:szCs w:val="32"/>
          <w:highlight w:val="none"/>
        </w:rPr>
      </w:pPr>
      <w:r>
        <w:rPr>
          <w:rFonts w:hint="eastAsia" w:ascii="方正楷体_GBK" w:hAnsi="方正楷体_GBK" w:eastAsia="方正楷体_GBK" w:cs="方正楷体_GBK"/>
          <w:b/>
          <w:bCs/>
          <w:sz w:val="32"/>
          <w:szCs w:val="32"/>
          <w:highlight w:val="none"/>
          <w:lang w:eastAsia="zh-CN"/>
        </w:rPr>
        <w:t>　　</w:t>
      </w:r>
      <w:r>
        <w:rPr>
          <w:rFonts w:hint="eastAsia" w:ascii="方正楷体_GBK" w:hAnsi="方正楷体_GBK" w:eastAsia="方正楷体_GBK" w:cs="方正楷体_GBK"/>
          <w:b/>
          <w:bCs/>
          <w:sz w:val="32"/>
          <w:szCs w:val="32"/>
          <w:highlight w:val="none"/>
        </w:rPr>
        <w:t>主要完成人情况</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王能，排名第1，工作单位：山西丰鸿实业股份有限公司，参与项目时间：2022 年 8 月 —2025 年 12 月 创造性贡献：项目总负责人，主导全国产化边缘智控主板硬件架构、视觉检测、温振抑制一体化方案设计，优化成像与缺陷识别算法，完成整机硬件集成，支撑第1、2 项核心创新，取得多项核心发明专利。</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杨毅，排名第2，工作单位：太原理工大学，参与项目时间:2023年6月—2025年6月创造性贡献：独立攻关虹膜、指纹生物识别匹配核心算法，构建极坐标虹膜映射与指纹全局校准模型，通过 SIMD 指令硬件加速，解决边缘端高并发算力瓶颈，支撑第 3 项实时协同创新点。</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文运定，排名第3，工作单位：山西丰鸿实业股份有限公司，参与项目时间：2022年8月—2025年12月创造性贡献：统筹项目整体研发规划、研发资金与人员资源，顶层设计多技术融合研发路线，协调校企联合攻关，主导成果转化、市场推广与多场景示范落地。</w:t>
      </w:r>
    </w:p>
    <w:p>
      <w:pPr>
        <w:adjustRightInd w:val="0"/>
        <w:snapToGrid w:val="0"/>
        <w:spacing w:line="560" w:lineRule="exact"/>
        <w:ind w:firstLine="640" w:firstLineChars="200"/>
        <w:rPr>
          <w:rFonts w:hint="eastAsia" w:ascii="方正楷体_GBK" w:hAnsi="方正楷体_GBK" w:eastAsia="方正楷体_GBK" w:cs="方正楷体_GBK"/>
          <w:sz w:val="32"/>
          <w:szCs w:val="32"/>
          <w:lang w:val="en-US" w:eastAsia="zh-CN"/>
        </w:rPr>
      </w:pPr>
      <w:r>
        <w:rPr>
          <w:rFonts w:hint="eastAsia" w:ascii="仿宋_GB2312" w:hAnsi="Times New Roman" w:eastAsia="仿宋_GB2312"/>
          <w:sz w:val="32"/>
          <w:szCs w:val="32"/>
          <w:lang w:val="en-US" w:eastAsia="zh-CN"/>
        </w:rPr>
        <w:t>赵康康，排名第4，工作单位：山西丰鸿实业股份有限公司，参与项目时间：2022年8月—2025年12月创造性贡献：负责项目工业化产线搭建，设计SMT贴片、回流焊、AOI全流程量产工艺，建立品质管控体系，降低原材料损耗、控制量产不良率，完成成果规模化落地</w:t>
      </w:r>
      <w:r>
        <w:rPr>
          <w:color w:val="000000"/>
          <w:sz w:val="24"/>
          <w:szCs w:val="24"/>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b/>
          <w:bCs/>
          <w:sz w:val="32"/>
          <w:szCs w:val="32"/>
          <w:highlight w:val="none"/>
          <w:lang w:eastAsia="zh-CN"/>
        </w:rPr>
      </w:pPr>
      <w:r>
        <w:rPr>
          <w:rFonts w:hint="eastAsia" w:ascii="方正楷体_GBK" w:hAnsi="方正楷体_GBK" w:eastAsia="方正楷体_GBK" w:cs="方正楷体_GBK"/>
          <w:b/>
          <w:bCs/>
          <w:sz w:val="32"/>
          <w:szCs w:val="32"/>
          <w:highlight w:val="none"/>
        </w:rPr>
        <w:t>主要完成单位及创新推广贡献</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1、第一完成单位：山西丰鸿实业股份有限公司</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单位贡献：项目牵头研发与产业化主体，投入专项资金、场地、全套试验及量产设备；负责硬件整机、底层固件、产线工艺全链条研发；搭建本地智能制造基地，完成产品批量生产、市场拓展、客户运维体系建设，主导多行业示范应用落地，统筹全部项目研发、转化、推广工作。</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2、第二完成单位：太原理工大学</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jc w:val="both"/>
        <w:textAlignment w:val="auto"/>
        <w:rPr>
          <w:rFonts w:hint="eastAsia" w:ascii="方正楷体_GBK" w:hAnsi="方正楷体_GBK" w:eastAsia="方正楷体_GBK" w:cs="方正楷体_GBK"/>
          <w:b/>
          <w:color w:val="auto"/>
          <w:sz w:val="32"/>
          <w:szCs w:val="32"/>
        </w:rPr>
      </w:pPr>
      <w:r>
        <w:rPr>
          <w:rFonts w:hint="eastAsia" w:ascii="仿宋_GB2312" w:hAnsi="Times New Roman" w:eastAsia="仿宋_GB2312"/>
          <w:sz w:val="32"/>
          <w:szCs w:val="32"/>
          <w:lang w:val="en-US" w:eastAsia="zh-CN"/>
        </w:rPr>
        <w:t>单位贡献：校企技术合作单位，主攻边缘端生物识别、多模态数据融合核心算法研发；完成算法仿真、迭代优化与主板软硬件适配；提供理论与实验平台支撑，联合开展场景技术验证，助力项目智能化性能提升与跨行业推广</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2" w:firstLineChars="200"/>
        <w:jc w:val="both"/>
        <w:textAlignment w:val="auto"/>
        <w:rPr>
          <w:rFonts w:hint="eastAsia" w:ascii="方正楷体_GBK" w:hAnsi="方正楷体_GBK" w:eastAsia="方正楷体_GBK" w:cs="方正楷体_GBK"/>
          <w:sz w:val="32"/>
          <w:szCs w:val="32"/>
        </w:rPr>
      </w:pPr>
      <w:r>
        <w:rPr>
          <w:rFonts w:hint="eastAsia" w:ascii="方正楷体_GBK" w:hAnsi="方正楷体_GBK" w:eastAsia="方正楷体_GBK" w:cs="方正楷体_GBK"/>
          <w:b/>
          <w:color w:val="auto"/>
          <w:sz w:val="32"/>
          <w:szCs w:val="32"/>
        </w:rPr>
        <w:t>完成人合作关系说明</w:t>
      </w:r>
    </w:p>
    <w:p>
      <w:pPr>
        <w:adjustRightInd w:val="0"/>
        <w:snapToGrid w:val="0"/>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该项目 4 名完成人分为校企协同团队：王能、文运定、赵康康均为山西丰鸿实业股份有限公司在职研发、管理、生产骨干，2022 年 8 月起全程联合开展主板硬件、整机集成、量产工艺研发；杨毅为太原理工大学专职科研人员，2023 年 6 月起与企业开展产学研合作，专项负责智能识别算法攻关。各方通过联合研发协议、共同专利、试验记录、项目会议记录佐证合作关系，分工清晰、技术贡献各有侧重，无署名、权属争议。</w:t>
      </w:r>
    </w:p>
    <w:p>
      <w:pPr>
        <w:rPr>
          <w:rFonts w:hint="eastAsia" w:ascii="方正仿宋_GBK" w:hAnsi="方正仿宋_GBK" w:eastAsia="方正仿宋_GBK" w:cs="方正仿宋_GBK"/>
          <w:sz w:val="32"/>
          <w:szCs w:val="32"/>
        </w:rPr>
      </w:pPr>
    </w:p>
    <w:sectPr>
      <w:footerReference r:id="rId3" w:type="default"/>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微软雅黑">
    <w:altName w:val="方正黑体_GBK"/>
    <w:panose1 w:val="020B0503020204020204"/>
    <w:charset w:val="86"/>
    <w:family w:val="swiss"/>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经典宋体简">
    <w:altName w:val="方正书宋_GBK"/>
    <w:panose1 w:val="00000000000000000000"/>
    <w:charset w:val="86"/>
    <w:family w:val="modern"/>
    <w:pitch w:val="default"/>
    <w:sig w:usb0="00000000" w:usb1="00000000" w:usb2="0000001E"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DliMDg3ZGViYTI2YmRiZjlmZDkzNjNlZGU4YWIwNDAifQ=="/>
  </w:docVars>
  <w:rsids>
    <w:rsidRoot w:val="00DE398F"/>
    <w:rsid w:val="00032D7A"/>
    <w:rsid w:val="00195585"/>
    <w:rsid w:val="003640BE"/>
    <w:rsid w:val="003B3B4C"/>
    <w:rsid w:val="00452531"/>
    <w:rsid w:val="00471D66"/>
    <w:rsid w:val="00482579"/>
    <w:rsid w:val="00496F2A"/>
    <w:rsid w:val="00531C3D"/>
    <w:rsid w:val="00897FFC"/>
    <w:rsid w:val="00A94814"/>
    <w:rsid w:val="00BA4233"/>
    <w:rsid w:val="00DE398F"/>
    <w:rsid w:val="00E3745D"/>
    <w:rsid w:val="00E71867"/>
    <w:rsid w:val="00E73A7D"/>
    <w:rsid w:val="00EC0F2B"/>
    <w:rsid w:val="00EE18DA"/>
    <w:rsid w:val="00F15E4B"/>
    <w:rsid w:val="00F4612D"/>
    <w:rsid w:val="00FA12E9"/>
    <w:rsid w:val="00FB974F"/>
    <w:rsid w:val="00FF6082"/>
    <w:rsid w:val="1B2B508F"/>
    <w:rsid w:val="1BBF6205"/>
    <w:rsid w:val="1BFF5179"/>
    <w:rsid w:val="1FF5A44F"/>
    <w:rsid w:val="34FF732C"/>
    <w:rsid w:val="3AFF06FF"/>
    <w:rsid w:val="3DB72C85"/>
    <w:rsid w:val="47379749"/>
    <w:rsid w:val="576D4B12"/>
    <w:rsid w:val="5BFF38FB"/>
    <w:rsid w:val="5EBC4AA4"/>
    <w:rsid w:val="5FEC6291"/>
    <w:rsid w:val="5FF750DA"/>
    <w:rsid w:val="66B3EA50"/>
    <w:rsid w:val="67B6F0DE"/>
    <w:rsid w:val="67FFA6B0"/>
    <w:rsid w:val="6A6D2F54"/>
    <w:rsid w:val="6B957492"/>
    <w:rsid w:val="6DFF9A0F"/>
    <w:rsid w:val="6E971C69"/>
    <w:rsid w:val="6F07D731"/>
    <w:rsid w:val="6F3FF50A"/>
    <w:rsid w:val="6FDC4439"/>
    <w:rsid w:val="71FACB05"/>
    <w:rsid w:val="7558D60F"/>
    <w:rsid w:val="757FC8FF"/>
    <w:rsid w:val="7B1FEDE6"/>
    <w:rsid w:val="7DD82CBC"/>
    <w:rsid w:val="7E3FE427"/>
    <w:rsid w:val="7EBE92D1"/>
    <w:rsid w:val="7EFE42A6"/>
    <w:rsid w:val="7F050954"/>
    <w:rsid w:val="7F3457B9"/>
    <w:rsid w:val="7F4B70BD"/>
    <w:rsid w:val="7F8793BF"/>
    <w:rsid w:val="7F9BDDE0"/>
    <w:rsid w:val="7FB31DE6"/>
    <w:rsid w:val="7FDFDC72"/>
    <w:rsid w:val="7FF5E3E5"/>
    <w:rsid w:val="7FFF6B57"/>
    <w:rsid w:val="9AAD8EA8"/>
    <w:rsid w:val="9BDBE2E3"/>
    <w:rsid w:val="A2AA2DD2"/>
    <w:rsid w:val="AEDF029E"/>
    <w:rsid w:val="AFEF8476"/>
    <w:rsid w:val="AFFF939F"/>
    <w:rsid w:val="B7590D4D"/>
    <w:rsid w:val="BABB53E7"/>
    <w:rsid w:val="BBF7436D"/>
    <w:rsid w:val="BDBD23AD"/>
    <w:rsid w:val="BE710D32"/>
    <w:rsid w:val="BF7386EA"/>
    <w:rsid w:val="BFCFCB75"/>
    <w:rsid w:val="CDE7A46E"/>
    <w:rsid w:val="D5FC4F7D"/>
    <w:rsid w:val="D6FEF25A"/>
    <w:rsid w:val="D7FF0A87"/>
    <w:rsid w:val="DBBF344F"/>
    <w:rsid w:val="DBFDFB4E"/>
    <w:rsid w:val="DF5BC6BD"/>
    <w:rsid w:val="DFFF2DC6"/>
    <w:rsid w:val="E7FFB318"/>
    <w:rsid w:val="EAED712A"/>
    <w:rsid w:val="EBFFE8B5"/>
    <w:rsid w:val="EEEFE5BB"/>
    <w:rsid w:val="EF494F48"/>
    <w:rsid w:val="EF7BBF49"/>
    <w:rsid w:val="EFA8607F"/>
    <w:rsid w:val="EFFA2107"/>
    <w:rsid w:val="F3FF73C1"/>
    <w:rsid w:val="F3FFA201"/>
    <w:rsid w:val="F69E1A91"/>
    <w:rsid w:val="F69FF270"/>
    <w:rsid w:val="F735B529"/>
    <w:rsid w:val="F7D9DD1D"/>
    <w:rsid w:val="F7EF052D"/>
    <w:rsid w:val="F9F2A8B6"/>
    <w:rsid w:val="FBE03460"/>
    <w:rsid w:val="FDBE03AF"/>
    <w:rsid w:val="FDF7D2E0"/>
    <w:rsid w:val="FE7DF5D2"/>
    <w:rsid w:val="FEF04021"/>
    <w:rsid w:val="FF3B70CC"/>
    <w:rsid w:val="FF5623CB"/>
    <w:rsid w:val="FF7AED7F"/>
    <w:rsid w:val="FF7B6142"/>
    <w:rsid w:val="FFC832B0"/>
    <w:rsid w:val="FFF72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3">
    <w:name w:val="Body Text"/>
    <w:basedOn w:val="1"/>
    <w:next w:val="1"/>
    <w:qFormat/>
    <w:uiPriority w:val="1"/>
    <w:pPr>
      <w:spacing w:before="2"/>
      <w:ind w:left="238"/>
    </w:pPr>
    <w:rPr>
      <w:rFonts w:ascii="宋体" w:hAnsi="宋体" w:eastAsia="宋体" w:cs="宋体"/>
      <w:sz w:val="21"/>
      <w:szCs w:val="21"/>
      <w:lang w:val="zh-CN" w:eastAsia="zh-CN" w:bidi="zh-CN"/>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unhideWhenUsed/>
    <w:qFormat/>
    <w:uiPriority w:val="99"/>
    <w:pPr>
      <w:spacing w:before="100" w:beforeAutospacing="1" w:after="100" w:afterAutospacing="1"/>
    </w:pPr>
    <w:rPr>
      <w:rFonts w:ascii="Times New Roman" w:hAnsi="Times New Roman" w:eastAsia="Times New Roman" w:cs="Times New Roman"/>
    </w:rPr>
  </w:style>
  <w:style w:type="table" w:styleId="9">
    <w:name w:val="Table Grid"/>
    <w:basedOn w:val="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paragraph" w:customStyle="1" w:styleId="13">
    <w:name w:val="Table Paragraph"/>
    <w:basedOn w:val="1"/>
    <w:qFormat/>
    <w:uiPriority w:val="1"/>
    <w:rPr>
      <w:rFonts w:ascii="宋体" w:hAnsi="宋体" w:eastAsia="宋体" w:cs="宋体"/>
      <w:lang w:val="zh-CN" w:eastAsia="zh-CN" w:bidi="zh-CN"/>
    </w:rPr>
  </w:style>
  <w:style w:type="paragraph" w:customStyle="1" w:styleId="14">
    <w:name w:val="Table Text"/>
    <w:basedOn w:val="1"/>
    <w:semiHidden/>
    <w:qFormat/>
    <w:uiPriority w:val="0"/>
    <w:pPr>
      <w:widowControl/>
      <w:kinsoku w:val="0"/>
      <w:autoSpaceDE w:val="0"/>
      <w:autoSpaceDN w:val="0"/>
      <w:adjustRightInd w:val="0"/>
      <w:snapToGrid w:val="0"/>
      <w:jc w:val="left"/>
      <w:textAlignment w:val="baseline"/>
    </w:pPr>
    <w:rPr>
      <w:rFonts w:ascii="微软雅黑" w:hAnsi="微软雅黑" w:eastAsia="微软雅黑" w:cs="微软雅黑"/>
      <w:snapToGrid w:val="0"/>
      <w:color w:val="000000"/>
      <w:kern w:val="0"/>
      <w:sz w:val="24"/>
      <w:szCs w:val="24"/>
      <w:lang w:eastAsia="en-US"/>
    </w:rPr>
  </w:style>
  <w:style w:type="paragraph" w:styleId="15">
    <w:name w:val="List Paragraph"/>
    <w:basedOn w:val="1"/>
    <w:qFormat/>
    <w:uiPriority w:val="34"/>
    <w:pPr>
      <w:ind w:left="480" w:leftChars="200"/>
    </w:pPr>
  </w:style>
  <w:style w:type="table" w:customStyle="1" w:styleId="16">
    <w:name w:val="Table Normal"/>
    <w:unhideWhenUsed/>
    <w:qFormat/>
    <w:uiPriority w:val="0"/>
    <w:tblPr>
      <w:tblCellMar>
        <w:top w:w="0" w:type="dxa"/>
        <w:left w:w="0" w:type="dxa"/>
        <w:bottom w:w="0" w:type="dxa"/>
        <w:right w:w="0" w:type="dxa"/>
      </w:tblCellMar>
    </w:tblPr>
  </w:style>
  <w:style w:type="character" w:customStyle="1" w:styleId="17">
    <w:name w:val="fontstyle21"/>
    <w:qFormat/>
    <w:uiPriority w:val="0"/>
    <w:rPr>
      <w:rFonts w:hint="eastAsia" w:ascii="宋体" w:hAnsi="宋体" w:eastAsia="宋体"/>
      <w:color w:val="000000"/>
      <w:sz w:val="36"/>
      <w:szCs w:val="3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49</Pages>
  <Words>22276</Words>
  <Characters>24725</Characters>
  <Lines>17</Lines>
  <Paragraphs>4</Paragraphs>
  <TotalTime>22</TotalTime>
  <ScaleCrop>false</ScaleCrop>
  <LinksUpToDate>false</LinksUpToDate>
  <CharactersWithSpaces>25044</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2021-06-07T23:28:00Z</dcterms:created>
  <dc:creator>Administrator</dc:creator>
  <cp:lastModifiedBy>CGK</cp:lastModifiedBy>
  <cp:lastPrinted>2024-12-27T02:28:00Z</cp:lastPrinted>
  <dcterms:modified xsi:type="dcterms:W3CDTF">2026-07-20T17:41:02Z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y fmtid="{D5CDD505-2E9C-101B-9397-08002B2CF9AE}" pid="3" name="ICV">
    <vt:lpwstr>A59932376F8F41A18816607621ACF084</vt:lpwstr>
  </property>
</Properties>
</file>