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80" w:lineRule="exact"/>
        <w:jc w:val="both"/>
        <w:textAlignment w:val="auto"/>
        <w:outlineLvl w:val="9"/>
        <w:rPr>
          <w:rFonts w:ascii="宋体" w:hAnsi="宋体" w:cs="宋体"/>
          <w:b/>
          <w:bCs/>
          <w:color w:val="000000"/>
          <w:sz w:val="32"/>
          <w:szCs w:val="32"/>
          <w:shd w:val="clear" w:color="auto" w:fill="FFFFFF"/>
        </w:rPr>
      </w:pPr>
      <w:r>
        <w:rPr>
          <w:rFonts w:hint="eastAsia" w:ascii="宋体" w:hAnsi="宋体" w:cs="宋体"/>
          <w:b/>
          <w:bCs/>
          <w:color w:val="000000"/>
          <w:sz w:val="32"/>
          <w:szCs w:val="32"/>
          <w:shd w:val="clear" w:color="auto" w:fill="FFFFFF"/>
        </w:rPr>
        <w:t>附件2：</w:t>
      </w:r>
    </w:p>
    <w:p>
      <w:pPr>
        <w:keepNext w:val="0"/>
        <w:keepLines w:val="0"/>
        <w:pageBreakBefore w:val="0"/>
        <w:kinsoku/>
        <w:wordWrap/>
        <w:overflowPunct/>
        <w:topLinePunct w:val="0"/>
        <w:autoSpaceDE/>
        <w:autoSpaceDN/>
        <w:bidi w:val="0"/>
        <w:adjustRightInd/>
        <w:snapToGrid/>
        <w:spacing w:line="580" w:lineRule="exact"/>
        <w:jc w:val="both"/>
        <w:textAlignment w:val="auto"/>
        <w:outlineLvl w:val="9"/>
        <w:rPr>
          <w:rFonts w:ascii="宋体" w:hAnsi="宋体" w:cs="宋体"/>
          <w:b/>
          <w:bCs/>
          <w:color w:val="000000"/>
          <w:sz w:val="32"/>
          <w:szCs w:val="32"/>
          <w:shd w:val="clear" w:color="auto" w:fill="FFFFFF"/>
        </w:rPr>
      </w:pP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Style w:val="11"/>
          <w:rFonts w:ascii="宋体" w:hAnsi="宋体" w:cs="宋体"/>
          <w:b/>
          <w:bCs/>
          <w:color w:val="000000"/>
          <w:sz w:val="44"/>
          <w:szCs w:val="44"/>
          <w:u w:val="none"/>
          <w:shd w:val="clear" w:color="auto" w:fill="FFFFFF"/>
        </w:rPr>
      </w:pPr>
      <w:r>
        <w:rPr>
          <w:rFonts w:hint="eastAsia" w:ascii="宋体" w:hAnsi="宋体" w:cs="宋体"/>
          <w:b/>
          <w:bCs/>
          <w:color w:val="000000"/>
          <w:sz w:val="44"/>
          <w:szCs w:val="44"/>
          <w:shd w:val="clear" w:color="auto" w:fill="FFFFFF"/>
        </w:rPr>
        <w:fldChar w:fldCharType="begin"/>
      </w:r>
      <w:r>
        <w:rPr>
          <w:rFonts w:hint="eastAsia" w:ascii="宋体" w:hAnsi="宋体" w:cs="宋体"/>
          <w:b/>
          <w:bCs/>
          <w:color w:val="000000"/>
          <w:sz w:val="44"/>
          <w:szCs w:val="44"/>
          <w:shd w:val="clear" w:color="auto" w:fill="FFFFFF"/>
        </w:rPr>
        <w:instrText xml:space="preserve"> HYPERLINK "http://www.sxinfo.gov.cn/u/cms/www/201801/15145012euv2.doc" </w:instrText>
      </w:r>
      <w:r>
        <w:rPr>
          <w:rFonts w:hint="eastAsia" w:ascii="宋体" w:hAnsi="宋体" w:cs="宋体"/>
          <w:b/>
          <w:bCs/>
          <w:color w:val="000000"/>
          <w:sz w:val="44"/>
          <w:szCs w:val="44"/>
          <w:shd w:val="clear" w:color="auto" w:fill="FFFFFF"/>
        </w:rPr>
        <w:fldChar w:fldCharType="separate"/>
      </w:r>
      <w:r>
        <w:rPr>
          <w:rFonts w:hint="eastAsia" w:ascii="宋体" w:hAnsi="宋体" w:cs="宋体"/>
          <w:b/>
          <w:bCs/>
          <w:color w:val="000000"/>
          <w:sz w:val="44"/>
          <w:szCs w:val="44"/>
          <w:shd w:val="clear" w:color="auto" w:fill="FFFFFF"/>
        </w:rPr>
        <w:t>晋城市202</w:t>
      </w:r>
      <w:r>
        <w:rPr>
          <w:rFonts w:hint="eastAsia" w:ascii="宋体" w:hAnsi="宋体" w:cs="宋体"/>
          <w:b/>
          <w:bCs/>
          <w:color w:val="000000"/>
          <w:sz w:val="44"/>
          <w:szCs w:val="44"/>
          <w:shd w:val="clear" w:color="auto" w:fill="FFFFFF"/>
          <w:lang w:val="en-US" w:eastAsia="zh-CN"/>
        </w:rPr>
        <w:t>3</w:t>
      </w:r>
      <w:r>
        <w:rPr>
          <w:rStyle w:val="11"/>
          <w:rFonts w:hint="eastAsia" w:ascii="宋体" w:hAnsi="宋体" w:cs="宋体"/>
          <w:b/>
          <w:bCs/>
          <w:color w:val="000000"/>
          <w:sz w:val="44"/>
          <w:szCs w:val="44"/>
          <w:u w:val="none"/>
          <w:shd w:val="clear" w:color="auto" w:fill="FFFFFF"/>
        </w:rPr>
        <w:t>年度山西省科学技术奖</w:t>
      </w:r>
    </w:p>
    <w:p>
      <w:pPr>
        <w:keepNext w:val="0"/>
        <w:keepLines w:val="0"/>
        <w:pageBreakBefore w:val="0"/>
        <w:kinsoku/>
        <w:wordWrap/>
        <w:overflowPunct/>
        <w:topLinePunct w:val="0"/>
        <w:autoSpaceDE/>
        <w:autoSpaceDN/>
        <w:bidi w:val="0"/>
        <w:adjustRightInd/>
        <w:snapToGrid/>
        <w:spacing w:line="580" w:lineRule="exact"/>
        <w:jc w:val="center"/>
        <w:textAlignment w:val="auto"/>
        <w:outlineLvl w:val="9"/>
        <w:rPr>
          <w:rFonts w:ascii="宋体" w:hAnsi="宋体" w:cs="宋体"/>
          <w:b/>
          <w:bCs/>
          <w:color w:val="000000"/>
          <w:sz w:val="44"/>
          <w:szCs w:val="44"/>
          <w:shd w:val="clear" w:color="auto" w:fill="FFFFFF"/>
        </w:rPr>
      </w:pPr>
      <w:r>
        <w:rPr>
          <w:rStyle w:val="11"/>
          <w:rFonts w:hint="eastAsia" w:ascii="宋体" w:hAnsi="宋体" w:cs="宋体"/>
          <w:b/>
          <w:bCs/>
          <w:color w:val="000000"/>
          <w:sz w:val="44"/>
          <w:szCs w:val="44"/>
          <w:u w:val="none"/>
          <w:shd w:val="clear" w:color="auto" w:fill="FFFFFF"/>
        </w:rPr>
        <w:t>拟提名项目公示材料</w:t>
      </w:r>
      <w:r>
        <w:rPr>
          <w:rFonts w:hint="eastAsia" w:ascii="宋体" w:hAnsi="宋体" w:cs="宋体"/>
          <w:b/>
          <w:bCs/>
          <w:color w:val="000000"/>
          <w:sz w:val="44"/>
          <w:szCs w:val="44"/>
          <w:shd w:val="clear" w:color="auto" w:fill="FFFFFF"/>
        </w:rPr>
        <w:fldChar w:fldCharType="end"/>
      </w:r>
    </w:p>
    <w:p>
      <w:pPr>
        <w:keepNext w:val="0"/>
        <w:keepLines w:val="0"/>
        <w:pageBreakBefore w:val="0"/>
        <w:kinsoku/>
        <w:wordWrap/>
        <w:overflowPunct/>
        <w:topLinePunct w:val="0"/>
        <w:autoSpaceDE/>
        <w:autoSpaceDN/>
        <w:bidi w:val="0"/>
        <w:adjustRightInd/>
        <w:snapToGrid/>
        <w:spacing w:line="580" w:lineRule="exact"/>
        <w:jc w:val="both"/>
        <w:textAlignment w:val="auto"/>
        <w:rPr>
          <w:rFonts w:hint="default" w:asciiTheme="majorEastAsia" w:hAnsiTheme="majorEastAsia" w:eastAsiaTheme="majorEastAsia"/>
          <w:sz w:val="36"/>
          <w:szCs w:val="36"/>
          <w:lang w:val="en-US" w:eastAsia="zh-CN"/>
        </w:rPr>
      </w:pPr>
    </w:p>
    <w:p>
      <w:pPr>
        <w:keepNext w:val="0"/>
        <w:keepLines w:val="0"/>
        <w:pageBreakBefore w:val="0"/>
        <w:widowControl/>
        <w:numPr>
          <w:ilvl w:val="0"/>
          <w:numId w:val="0"/>
        </w:numPr>
        <w:suppressLineNumbers w:val="0"/>
        <w:kinsoku/>
        <w:wordWrap/>
        <w:overflowPunct/>
        <w:topLinePunct w:val="0"/>
        <w:autoSpaceDE/>
        <w:autoSpaceDN/>
        <w:bidi w:val="0"/>
        <w:adjustRightInd/>
        <w:spacing w:line="580" w:lineRule="exact"/>
        <w:ind w:leftChars="0"/>
        <w:jc w:val="both"/>
        <w:textAlignment w:val="auto"/>
        <w:rPr>
          <w:rFonts w:ascii="黑体" w:hAnsi="黑体" w:eastAsia="黑体"/>
          <w:bCs/>
          <w:sz w:val="28"/>
          <w:szCs w:val="28"/>
        </w:rPr>
      </w:pPr>
      <w:r>
        <w:rPr>
          <w:rFonts w:hint="eastAsia" w:ascii="方正黑体_GBK" w:hAnsi="方正黑体_GBK" w:eastAsia="方正黑体_GBK" w:cs="方正黑体_GBK"/>
          <w:kern w:val="0"/>
          <w:sz w:val="32"/>
          <w:szCs w:val="32"/>
          <w:lang w:val="en-US" w:eastAsia="zh-CN" w:bidi="ar"/>
        </w:rPr>
        <w:t>　　一</w:t>
      </w:r>
      <w:r>
        <w:rPr>
          <w:rFonts w:hint="eastAsia" w:ascii="方正黑体_GBK" w:hAnsi="方正黑体_GBK" w:eastAsia="方正黑体_GBK" w:cs="方正黑体_GBK"/>
          <w:b/>
          <w:bCs/>
          <w:i w:val="0"/>
          <w:caps w:val="0"/>
          <w:color w:val="333333"/>
          <w:spacing w:val="0"/>
          <w:kern w:val="0"/>
          <w:sz w:val="32"/>
          <w:szCs w:val="32"/>
          <w:shd w:val="clear" w:fill="FFFFFF"/>
          <w:lang w:val="en-US" w:eastAsia="zh-CN" w:bidi="ar"/>
        </w:rPr>
        <w:t>、</w:t>
      </w:r>
      <w:r>
        <w:rPr>
          <w:rFonts w:hint="eastAsia" w:ascii="方正黑体_GBK" w:hAnsi="方正黑体_GBK" w:eastAsia="方正黑体_GBK" w:cs="方正黑体_GBK"/>
          <w:kern w:val="0"/>
          <w:sz w:val="32"/>
          <w:szCs w:val="32"/>
          <w:lang w:val="en-US" w:eastAsia="zh-CN" w:bidi="ar"/>
        </w:rPr>
        <w:t>科学技术进步奖</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黑体_GBK" w:hAnsi="方正黑体_GBK" w:eastAsia="方正黑体_GBK" w:cs="方正黑体_GBK"/>
          <w:kern w:val="0"/>
          <w:sz w:val="32"/>
          <w:szCs w:val="32"/>
          <w:lang w:val="en-US" w:eastAsia="zh-CN" w:bidi="ar"/>
        </w:rPr>
        <w:t>　　（一</w:t>
      </w:r>
      <w:r>
        <w:rPr>
          <w:rFonts w:hint="eastAsia" w:ascii="方正仿宋_GBK" w:hAnsi="方正仿宋_GBK" w:eastAsia="方正仿宋_GBK" w:cs="方正仿宋_GBK"/>
          <w:b/>
          <w:bCs/>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b/>
          <w:bCs/>
          <w:sz w:val="32"/>
          <w:szCs w:val="32"/>
        </w:rPr>
        <w:t>项目名称</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煤炭采空区下伏煤层煤层气地面抽采关键技术与示范</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项目简介</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项目属于煤层气开发技术领域，来源于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十三五</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国家科技重大专项项目。</w:t>
      </w:r>
      <w:bookmarkStart w:id="1" w:name="_GoBack"/>
      <w:bookmarkEnd w:id="1"/>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寺河矿区山西组3号煤层采空后形成的大面积采空区，给太原组9号、15号煤的煤层气地面预抽带来巨大挑战，如何穿越3号煤层采空区高效抽采下组煤的煤层气，是寺河矿区下组煤煤层气地面预抽亟需解决的难题。本项目深入开展了寺河矿采空区覆岩形态特征、下伏煤岩层卸压增透机理、过采空区煤层气井钻完井以及压裂排采技术的研究，形成了过采空区抽采下组煤煤层气成套技术体系，为采空区下组煤与煤层气开发提供技术依据。主要创新成果如下：</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确定了3号煤开采形成的“三区三带”范围，揭示了大面积采空区对下组煤卸压增透、促进煤层气解吸和高效产出机理。</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创新设计了过采空区煤层气井的井身结构，研发了氮气介质潜孔锤跟管钻井的安全高效钻完井成套技术工艺。</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研发了采空卸压区煤层差异化压裂改造技术，创新了采空卸压区煤层差异化排采控制技术，减少了储层伤害，最大程度的释放了煤层气井的产能。</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研究成果为寺河矿区下组煤的煤层气超前预抽创造了有利条件，为山西省乃至全国穿越煤炭采空区抽采下组煤的煤层气提供了理论依据和示范样板，有助于煤炭产业的清洁安全低碳发展、优化能源结构、减排温室气体，极大地助力了“双碳”目标的实现，同时有效解决了煤矿瓦斯难题，保障了矿井安全高效生产，社会效益、经济效益及安全效益显著。</w:t>
      </w:r>
    </w:p>
    <w:p>
      <w:pPr>
        <w:keepNext w:val="0"/>
        <w:keepLines w:val="0"/>
        <w:pageBreakBefore w:val="0"/>
        <w:kinsoku/>
        <w:wordWrap/>
        <w:overflowPunct/>
        <w:topLinePunct w:val="0"/>
        <w:autoSpaceDE/>
        <w:autoSpaceDN/>
        <w:bidi w:val="0"/>
        <w:adjustRightInd/>
        <w:snapToGrid w:val="0"/>
        <w:spacing w:line="580" w:lineRule="exact"/>
        <w:ind w:left="0"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应用情况及经济指标：</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bCs/>
          <w:sz w:val="28"/>
          <w:szCs w:val="28"/>
        </w:rPr>
      </w:pPr>
      <w:r>
        <w:rPr>
          <w:rFonts w:hint="eastAsia" w:ascii="仿宋_GB2312" w:hAnsi="仿宋_GB2312" w:eastAsia="仿宋_GB2312" w:cs="仿宋_GB2312"/>
          <w:sz w:val="32"/>
          <w:szCs w:val="32"/>
        </w:rPr>
        <w:t>研究成果已在寺河矿区进行了大面积推广应用，截至2022年底，已累计施工投运煤层气井203口，日产气量约54.7万方，累计产量6.37亿方，创造产值10.83亿元，相当于减排二氧化碳955.5万吨，经济效益与社会效益显著。</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客观评价</w:t>
      </w:r>
    </w:p>
    <w:p>
      <w:pPr>
        <w:ind w:left="-1260" w:leftChars="-600"/>
        <w:rPr>
          <w:rFonts w:ascii="经典宋体简" w:eastAsia="经典宋体简"/>
          <w:b/>
          <w:sz w:val="28"/>
          <w:szCs w:val="28"/>
        </w:rPr>
      </w:pPr>
    </w:p>
    <w:p>
      <w:pPr>
        <w:rPr>
          <w:rFonts w:ascii="经典宋体简" w:eastAsia="经典宋体简"/>
          <w:b/>
          <w:sz w:val="28"/>
          <w:szCs w:val="28"/>
        </w:rPr>
      </w:pPr>
      <w:r>
        <w:rPr>
          <w:rFonts w:ascii="经典宋体简" w:eastAsia="经典宋体简"/>
          <w:b/>
          <w:sz w:val="28"/>
          <w:szCs w:val="28"/>
        </w:rPr>
        <w:drawing>
          <wp:inline distT="0" distB="0" distL="114300" distR="114300">
            <wp:extent cx="2590165" cy="3473450"/>
            <wp:effectExtent l="0" t="0" r="635" b="1270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5"/>
                    <a:stretch>
                      <a:fillRect/>
                    </a:stretch>
                  </pic:blipFill>
                  <pic:spPr>
                    <a:xfrm>
                      <a:off x="0" y="0"/>
                      <a:ext cx="2590165" cy="3473450"/>
                    </a:xfrm>
                    <a:prstGeom prst="rect">
                      <a:avLst/>
                    </a:prstGeom>
                    <a:noFill/>
                    <a:ln>
                      <a:noFill/>
                    </a:ln>
                  </pic:spPr>
                </pic:pic>
              </a:graphicData>
            </a:graphic>
          </wp:inline>
        </w:drawing>
      </w:r>
      <w:r>
        <w:rPr>
          <w:rFonts w:ascii="经典宋体简" w:eastAsia="经典宋体简"/>
          <w:b/>
          <w:sz w:val="28"/>
          <w:szCs w:val="28"/>
        </w:rPr>
        <w:t xml:space="preserve"> </w:t>
      </w:r>
      <w:r>
        <w:rPr>
          <w:rFonts w:ascii="经典宋体简" w:eastAsia="经典宋体简"/>
          <w:b/>
          <w:sz w:val="28"/>
          <w:szCs w:val="28"/>
        </w:rPr>
        <w:drawing>
          <wp:inline distT="0" distB="0" distL="114300" distR="114300">
            <wp:extent cx="2424430" cy="3377565"/>
            <wp:effectExtent l="0" t="0" r="13970" b="1333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6"/>
                    <a:stretch>
                      <a:fillRect/>
                    </a:stretch>
                  </pic:blipFill>
                  <pic:spPr>
                    <a:xfrm>
                      <a:off x="0" y="0"/>
                      <a:ext cx="2424430" cy="33775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ascii="黑体" w:hAnsi="黑体" w:eastAsia="黑体"/>
          <w:bCs/>
          <w:sz w:val="32"/>
          <w:szCs w:val="32"/>
        </w:rPr>
      </w:pPr>
      <w:r>
        <w:rPr>
          <w:rFonts w:hint="eastAsia" w:ascii="方正仿宋_GBK" w:hAnsi="方正仿宋_GBK" w:eastAsia="方正仿宋_GBK" w:cs="方正仿宋_GBK"/>
          <w:b/>
          <w:bCs w:val="0"/>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成果在山西蓝焰煤层气集团有限责任公司寺河区块进行了示范：累计运行过采空区抽采下组煤煤层气直井203口，平均单井产气量为2694方/天。2017-2022年分别投运60、10、10、22、40、61口过采空区井，2017-2022年各年产气量分别为5819.0万方、6788.9万方、7758.7万方、9892.4万方、13771.7万方、19687.8万方，累计产量6.37亿方，创造产值10.83亿元。203口过采空区抽采下组煤的煤层气中，1000-2000方/天的井共计43口，大于2000方/天井共计139口，其中，产气量5000方/天以上的井有21口。单井最高日产气量为8832方，日平均产气量为2694方，产气时间明显缩短，见气时间显著快于常规煤层气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本项目的推进实施，形成了煤炭采空区下伏煤层煤层气开发成套技术体系，包括井位优选、抽采井设计、安全钻井、地面抽采的完整开发利用，项目成果主要在晋城矿区岳城矿、成庄矿、晋圣煤业各矿进行了推广应用，实现了一定规模的商业性生产和销售利用，产生了良好的经济效益和社会效益，发挥了显著的产业示范引领作用。</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主要知识产权证明目录</w:t>
      </w:r>
    </w:p>
    <w:tbl>
      <w:tblPr>
        <w:tblStyle w:val="8"/>
        <w:tblW w:w="9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8"/>
        <w:gridCol w:w="1675"/>
        <w:gridCol w:w="1400"/>
        <w:gridCol w:w="1988"/>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368" w:type="dxa"/>
            <w:noWrap w:val="0"/>
            <w:vAlign w:val="center"/>
          </w:tcPr>
          <w:p>
            <w:pPr>
              <w:jc w:val="center"/>
              <w:rPr>
                <w:rFonts w:ascii="宋体" w:hAnsi="宋体" w:eastAsia="宋体"/>
                <w:b/>
                <w:kern w:val="0"/>
                <w:sz w:val="22"/>
              </w:rPr>
            </w:pPr>
            <w:r>
              <w:rPr>
                <w:rFonts w:hint="eastAsia" w:ascii="宋体" w:hAnsi="宋体" w:eastAsia="宋体"/>
                <w:b/>
                <w:kern w:val="0"/>
                <w:sz w:val="22"/>
              </w:rPr>
              <w:t>授权项目名称</w:t>
            </w:r>
          </w:p>
        </w:tc>
        <w:tc>
          <w:tcPr>
            <w:tcW w:w="1675" w:type="dxa"/>
            <w:noWrap w:val="0"/>
            <w:vAlign w:val="center"/>
          </w:tcPr>
          <w:p>
            <w:pPr>
              <w:jc w:val="center"/>
              <w:rPr>
                <w:rFonts w:ascii="宋体" w:hAnsi="宋体" w:eastAsia="宋体"/>
                <w:b/>
                <w:kern w:val="0"/>
                <w:sz w:val="22"/>
              </w:rPr>
            </w:pPr>
            <w:r>
              <w:rPr>
                <w:rFonts w:hint="eastAsia" w:ascii="宋体" w:hAnsi="宋体" w:eastAsia="宋体"/>
                <w:b/>
                <w:kern w:val="0"/>
                <w:sz w:val="22"/>
              </w:rPr>
              <w:t>知识产权类别</w:t>
            </w:r>
          </w:p>
        </w:tc>
        <w:tc>
          <w:tcPr>
            <w:tcW w:w="1400" w:type="dxa"/>
            <w:noWrap w:val="0"/>
            <w:vAlign w:val="center"/>
          </w:tcPr>
          <w:p>
            <w:pPr>
              <w:jc w:val="center"/>
              <w:rPr>
                <w:rFonts w:ascii="宋体" w:hAnsi="宋体" w:eastAsia="宋体"/>
                <w:b/>
                <w:kern w:val="0"/>
                <w:sz w:val="22"/>
              </w:rPr>
            </w:pPr>
            <w:r>
              <w:rPr>
                <w:rFonts w:hint="eastAsia" w:ascii="宋体" w:hAnsi="宋体" w:eastAsia="宋体"/>
                <w:b/>
                <w:kern w:val="0"/>
                <w:sz w:val="22"/>
              </w:rPr>
              <w:t>国（区）别</w:t>
            </w:r>
          </w:p>
        </w:tc>
        <w:tc>
          <w:tcPr>
            <w:tcW w:w="1988" w:type="dxa"/>
            <w:noWrap w:val="0"/>
            <w:vAlign w:val="center"/>
          </w:tcPr>
          <w:p>
            <w:pPr>
              <w:jc w:val="center"/>
              <w:rPr>
                <w:rFonts w:ascii="宋体" w:hAnsi="宋体" w:eastAsia="宋体"/>
                <w:b/>
                <w:kern w:val="0"/>
                <w:sz w:val="22"/>
              </w:rPr>
            </w:pPr>
            <w:r>
              <w:rPr>
                <w:rFonts w:hint="eastAsia" w:ascii="宋体" w:hAnsi="宋体" w:eastAsia="宋体"/>
                <w:b/>
                <w:kern w:val="0"/>
                <w:sz w:val="22"/>
              </w:rPr>
              <w:t>申请号</w:t>
            </w:r>
          </w:p>
        </w:tc>
        <w:tc>
          <w:tcPr>
            <w:tcW w:w="1694" w:type="dxa"/>
            <w:noWrap w:val="0"/>
            <w:vAlign w:val="center"/>
          </w:tcPr>
          <w:p>
            <w:pPr>
              <w:jc w:val="center"/>
              <w:rPr>
                <w:rFonts w:ascii="宋体" w:hAnsi="宋体" w:eastAsia="宋体"/>
                <w:b/>
                <w:kern w:val="0"/>
                <w:sz w:val="22"/>
              </w:rPr>
            </w:pPr>
            <w:r>
              <w:rPr>
                <w:rFonts w:hint="eastAsia" w:ascii="宋体" w:hAnsi="宋体" w:eastAsia="宋体"/>
                <w:b/>
                <w:kern w:val="0"/>
                <w:sz w:val="22"/>
              </w:rPr>
              <w:t>授权号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一种抽采封闭采空区瓦斯的方法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CN201911347177.8</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CN111022109B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一种地面采空井悬挂式井身结构的施工方法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CN201911328386.8</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CN111075349B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一种小导孔注浆加固煤层气井穿越采空区的施工方法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CN201710585827.7</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CN107313744B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孔底复合封堵破碎岩体的煤层气井穿越采空区的钻井方法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CN201710585828.1</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CN107313716B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一种过采空区多结点集约化注浆加固煤层气井的固井方法</w:t>
            </w:r>
          </w:p>
        </w:tc>
        <w:tc>
          <w:tcPr>
            <w:tcW w:w="1675"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发明专利</w:t>
            </w:r>
          </w:p>
        </w:tc>
        <w:tc>
          <w:tcPr>
            <w:tcW w:w="1400" w:type="dxa"/>
            <w:noWrap w:val="0"/>
            <w:vAlign w:val="center"/>
          </w:tcPr>
          <w:p>
            <w:pPr>
              <w:snapToGrid w:val="0"/>
              <w:spacing w:line="240" w:lineRule="exact"/>
              <w:jc w:val="center"/>
              <w:rPr>
                <w:rFonts w:ascii="宋体" w:hAnsi="宋体" w:eastAsia="宋体"/>
                <w:bCs/>
                <w:kern w:val="0"/>
                <w:sz w:val="22"/>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CN201710587003.3</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CN107313745B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一种预抽采空区下组煤中瓦斯地面井的钻井井身结构</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CN201720940706.5</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CN207048741U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一种煤层气地面钻井过采空区成套系统</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CN201821402776.6</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CN208996731U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一种地面煤层气井排采装置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CN201720898769.9</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CN207048738U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具有增透导流功能的采动区瓦斯地面垂直抽采井护壁装置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CN201720462814.6</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CN206874257U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36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一种煤层气井废弃产层简易封堵装置</w:t>
            </w:r>
          </w:p>
        </w:tc>
        <w:tc>
          <w:tcPr>
            <w:tcW w:w="1675"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实用新型专利</w:t>
            </w:r>
          </w:p>
        </w:tc>
        <w:tc>
          <w:tcPr>
            <w:tcW w:w="1400" w:type="dxa"/>
            <w:noWrap w:val="0"/>
            <w:vAlign w:val="center"/>
          </w:tcPr>
          <w:p>
            <w:pPr>
              <w:snapToGrid w:val="0"/>
              <w:spacing w:line="240" w:lineRule="exact"/>
              <w:jc w:val="center"/>
              <w:rPr>
                <w:rFonts w:hint="eastAsia" w:ascii="楷体_GB2312" w:eastAsia="楷体_GB2312"/>
                <w:szCs w:val="21"/>
              </w:rPr>
            </w:pPr>
            <w:r>
              <w:rPr>
                <w:rFonts w:hint="eastAsia" w:ascii="楷体_GB2312" w:eastAsia="楷体_GB2312"/>
                <w:szCs w:val="21"/>
              </w:rPr>
              <w:t>中国</w:t>
            </w:r>
          </w:p>
        </w:tc>
        <w:tc>
          <w:tcPr>
            <w:tcW w:w="1988"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CN201821533227.2</w:t>
            </w:r>
          </w:p>
        </w:tc>
        <w:tc>
          <w:tcPr>
            <w:tcW w:w="1694" w:type="dxa"/>
            <w:noWrap w:val="0"/>
            <w:vAlign w:val="center"/>
          </w:tcPr>
          <w:p>
            <w:pPr>
              <w:snapToGrid w:val="0"/>
              <w:spacing w:line="240" w:lineRule="exact"/>
              <w:jc w:val="center"/>
              <w:rPr>
                <w:rFonts w:ascii="楷体_GB2312" w:eastAsia="楷体_GB2312"/>
                <w:szCs w:val="21"/>
              </w:rPr>
            </w:pPr>
            <w:r>
              <w:rPr>
                <w:rFonts w:hint="eastAsia" w:ascii="楷体_GB2312" w:eastAsia="楷体_GB2312"/>
                <w:szCs w:val="21"/>
              </w:rPr>
              <w:t>CN208996693U</w:t>
            </w:r>
          </w:p>
        </w:tc>
      </w:tr>
    </w:tbl>
    <w:p>
      <w:pPr>
        <w:keepNext w:val="0"/>
        <w:keepLines w:val="0"/>
        <w:pageBreakBefore w:val="0"/>
        <w:kinsoku/>
        <w:wordWrap/>
        <w:overflowPunct/>
        <w:topLinePunct w:val="0"/>
        <w:autoSpaceDE/>
        <w:autoSpaceDN/>
        <w:bidi w:val="0"/>
        <w:adjustRightInd/>
        <w:snapToGrid/>
        <w:spacing w:line="580" w:lineRule="exact"/>
        <w:textAlignment w:val="auto"/>
        <w:rPr>
          <w:rFonts w:hint="eastAsia" w:ascii="黑体" w:hAnsi="黑体" w:eastAsia="黑体"/>
          <w:bCs/>
          <w:sz w:val="32"/>
          <w:szCs w:val="32"/>
        </w:rPr>
      </w:pPr>
      <w:r>
        <w:rPr>
          <w:rFonts w:hint="eastAsia" w:ascii="黑体" w:hAnsi="黑体" w:eastAsia="黑体"/>
          <w:bCs/>
          <w:sz w:val="32"/>
          <w:szCs w:val="32"/>
          <w:lang w:eastAsia="zh-CN"/>
        </w:rPr>
        <w:t>　　</w:t>
      </w:r>
      <w:r>
        <w:rPr>
          <w:rFonts w:hint="eastAsia" w:ascii="方正仿宋_GBK" w:hAnsi="方正仿宋_GBK" w:eastAsia="方正仿宋_GBK" w:cs="方正仿宋_GBK"/>
          <w:b/>
          <w:bCs w:val="0"/>
          <w:sz w:val="32"/>
          <w:szCs w:val="32"/>
        </w:rPr>
        <w:t>主要完成人情况</w:t>
      </w:r>
    </w:p>
    <w:p>
      <w:pPr>
        <w:keepNext w:val="0"/>
        <w:keepLines w:val="0"/>
        <w:pageBreakBefore w:val="0"/>
        <w:widowControl/>
        <w:suppressLineNumbers w:val="0"/>
        <w:kinsoku/>
        <w:wordWrap/>
        <w:overflowPunct/>
        <w:topLinePunct w:val="0"/>
        <w:autoSpaceDE/>
        <w:autoSpaceDN/>
        <w:bidi w:val="0"/>
        <w:adjustRightInd/>
        <w:snapToGrid/>
        <w:spacing w:line="580" w:lineRule="exact"/>
        <w:jc w:val="left"/>
        <w:textAlignment w:val="auto"/>
        <w:rPr>
          <w:rFonts w:hint="eastAsia" w:ascii="方正仿宋_GBK" w:hAnsi="方正仿宋_GBK" w:eastAsia="方正仿宋_GBK" w:cs="方正仿宋_GBK"/>
          <w:sz w:val="32"/>
          <w:szCs w:val="32"/>
          <w:lang w:eastAsia="zh-CN"/>
        </w:rPr>
      </w:pPr>
      <w:r>
        <w:rPr>
          <w:rFonts w:hint="eastAsia" w:ascii="仿宋_GB2312" w:hAnsi="仿宋_GB2312" w:eastAsia="仿宋_GB2312" w:cs="仿宋_GB2312"/>
          <w:b w:val="0"/>
          <w:bCs w:val="0"/>
          <w:color w:val="000000"/>
          <w:kern w:val="2"/>
          <w:sz w:val="32"/>
          <w:szCs w:val="32"/>
          <w:lang w:val="en-US" w:eastAsia="zh-CN" w:bidi="ar-SA"/>
        </w:rPr>
        <w:t>　　</w:t>
      </w:r>
      <w:r>
        <w:rPr>
          <w:rFonts w:hint="eastAsia" w:ascii="方正仿宋_GBK" w:hAnsi="方正仿宋_GBK" w:eastAsia="方正仿宋_GBK" w:cs="方正仿宋_GBK"/>
          <w:b w:val="0"/>
          <w:bCs w:val="0"/>
          <w:color w:val="000000"/>
          <w:kern w:val="2"/>
          <w:sz w:val="32"/>
          <w:szCs w:val="32"/>
          <w:lang w:val="en-US" w:eastAsia="zh-CN" w:bidi="ar-SA"/>
        </w:rPr>
        <w:t>主要完成人共有</w:t>
      </w:r>
      <w:r>
        <w:rPr>
          <w:rFonts w:hint="eastAsia" w:ascii="方正仿宋_GBK" w:hAnsi="方正仿宋_GBK" w:eastAsia="方正仿宋_GBK" w:cs="方正仿宋_GBK"/>
          <w:b w:val="0"/>
          <w:bCs w:val="0"/>
          <w:color w:val="000000"/>
          <w:kern w:val="2"/>
          <w:sz w:val="32"/>
          <w:szCs w:val="32"/>
          <w:lang w:val="en" w:eastAsia="zh-CN" w:bidi="ar-SA"/>
        </w:rPr>
        <w:t>10</w:t>
      </w:r>
      <w:r>
        <w:rPr>
          <w:rFonts w:hint="eastAsia" w:ascii="方正仿宋_GBK" w:hAnsi="方正仿宋_GBK" w:eastAsia="方正仿宋_GBK" w:cs="方正仿宋_GBK"/>
          <w:b w:val="0"/>
          <w:bCs w:val="0"/>
          <w:color w:val="000000"/>
          <w:kern w:val="2"/>
          <w:sz w:val="32"/>
          <w:szCs w:val="32"/>
          <w:lang w:val="en-US" w:eastAsia="zh-CN" w:bidi="ar-SA"/>
        </w:rPr>
        <w:t>人，分别是</w:t>
      </w:r>
      <w:r>
        <w:rPr>
          <w:rFonts w:hint="eastAsia" w:ascii="方正仿宋_GBK" w:hAnsi="方正仿宋_GBK" w:eastAsia="方正仿宋_GBK" w:cs="方正仿宋_GBK"/>
          <w:sz w:val="32"/>
          <w:szCs w:val="32"/>
        </w:rPr>
        <w:t>李国富</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孟召平</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贺光会</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季长江</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李军军</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陈召英</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鲁博</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武杰</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张典坤</w:t>
      </w:r>
      <w:r>
        <w:rPr>
          <w:rFonts w:hint="eastAsia" w:ascii="方正仿宋_GBK" w:hAnsi="方正仿宋_GBK" w:eastAsia="方正仿宋_GBK" w:cs="方正仿宋_GBK"/>
          <w:i w:val="0"/>
          <w:caps w:val="0"/>
          <w:color w:val="333333"/>
          <w:spacing w:val="0"/>
          <w:kern w:val="0"/>
          <w:sz w:val="32"/>
          <w:szCs w:val="32"/>
          <w:shd w:val="clear" w:fill="FFFFFF"/>
          <w:lang w:val="en-US" w:eastAsia="zh-CN" w:bidi="ar"/>
        </w:rPr>
        <w:t>、</w:t>
      </w:r>
      <w:r>
        <w:rPr>
          <w:rFonts w:hint="eastAsia" w:ascii="方正仿宋_GBK" w:hAnsi="方正仿宋_GBK" w:eastAsia="方正仿宋_GBK" w:cs="方正仿宋_GBK"/>
          <w:sz w:val="32"/>
          <w:szCs w:val="32"/>
        </w:rPr>
        <w:t>刘洪太。</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lang w:eastAsia="zh-CN"/>
        </w:rPr>
        <w:t>　　</w:t>
      </w:r>
      <w:r>
        <w:rPr>
          <w:rFonts w:hint="eastAsia" w:ascii="方正仿宋_GBK" w:hAnsi="方正仿宋_GBK" w:eastAsia="方正仿宋_GBK" w:cs="方正仿宋_GBK"/>
          <w:b/>
          <w:bCs w:val="0"/>
          <w:sz w:val="32"/>
          <w:szCs w:val="32"/>
        </w:rPr>
        <w:t>主要完成单位及创新推广贡献</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i w:val="0"/>
          <w:caps w:val="0"/>
          <w:color w:val="333333"/>
          <w:spacing w:val="0"/>
          <w:kern w:val="0"/>
          <w:sz w:val="32"/>
          <w:szCs w:val="32"/>
          <w:shd w:val="clear" w:fill="FFFFFF"/>
          <w:lang w:val="en-US" w:eastAsia="zh-CN" w:bidi="ar"/>
        </w:rPr>
        <w:t>１、</w:t>
      </w:r>
      <w:r>
        <w:rPr>
          <w:rFonts w:hint="eastAsia" w:ascii="仿宋_GB2312" w:hAnsi="仿宋_GB2312" w:eastAsia="仿宋_GB2312" w:cs="仿宋_GB2312"/>
          <w:sz w:val="32"/>
          <w:szCs w:val="32"/>
        </w:rPr>
        <w:t>晋能控股装备制造集团有限公司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作为本项目的组织与实施牵头单位，对项目的人员、经费、实施等各方面进行总体协调。</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２</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山西蓝焰煤层气集团有限责任公司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作为项目完成单位之一，主要将项目研究成果进行工程示范，并进行推广应用。</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３</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中国矿业大学（北京）</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作为项目完成单位之一，主要完成了采空区下组煤的煤层气资源评价及采空区下伏煤岩层卸压增透机理等基础理论研究工作。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４</w:t>
      </w:r>
      <w:r>
        <w:rPr>
          <w:rFonts w:hint="eastAsia" w:ascii="仿宋_GB2312" w:hAnsi="仿宋_GB2312" w:eastAsia="仿宋_GB2312" w:cs="仿宋_GB2312"/>
          <w:i w:val="0"/>
          <w:caps w:val="0"/>
          <w:color w:val="333333"/>
          <w:spacing w:val="0"/>
          <w:kern w:val="0"/>
          <w:sz w:val="32"/>
          <w:szCs w:val="32"/>
          <w:shd w:val="clear" w:fill="FFFFFF"/>
          <w:lang w:val="en-US" w:eastAsia="zh-CN" w:bidi="ar"/>
        </w:rPr>
        <w:t>、</w:t>
      </w:r>
      <w:r>
        <w:rPr>
          <w:rFonts w:hint="eastAsia" w:ascii="仿宋_GB2312" w:hAnsi="仿宋_GB2312" w:eastAsia="仿宋_GB2312" w:cs="仿宋_GB2312"/>
          <w:sz w:val="32"/>
          <w:szCs w:val="32"/>
        </w:rPr>
        <w:t>易安蓝焰煤与煤层气共采技术有限责任公司</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承担的主要工作：</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作为项目完成单位之一，主要开展了寺河矿区下组煤煤层气抽采项目的钻井、压裂及排采工程的方案设计及工程示范与实施等工作。</w:t>
      </w:r>
    </w:p>
    <w:p>
      <w:pPr>
        <w:keepNext w:val="0"/>
        <w:keepLines w:val="0"/>
        <w:pageBreakBefore w:val="0"/>
        <w:kinsoku/>
        <w:wordWrap/>
        <w:overflowPunct/>
        <w:topLinePunct w:val="0"/>
        <w:autoSpaceDE/>
        <w:autoSpaceDN/>
        <w:bidi w:val="0"/>
        <w:adjustRightInd/>
        <w:snapToGrid/>
        <w:spacing w:line="580" w:lineRule="exact"/>
        <w:ind w:firstLine="642" w:firstLineChars="200"/>
        <w:textAlignment w:val="auto"/>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完成人合作关系说明</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color w:val="FF0000"/>
          <w:sz w:val="32"/>
          <w:szCs w:val="32"/>
        </w:rPr>
      </w:pPr>
      <w:r>
        <w:rPr>
          <w:rFonts w:hint="eastAsia" w:ascii="仿宋_GB2312" w:hAnsi="仿宋_GB2312" w:eastAsia="仿宋_GB2312" w:cs="仿宋_GB2312"/>
          <w:kern w:val="2"/>
          <w:sz w:val="32"/>
          <w:szCs w:val="32"/>
          <w:lang w:val="en-US" w:eastAsia="zh-CN" w:bidi="ar-SA"/>
        </w:rPr>
        <w:t>李国富为项目总负责人，确定了项目实施总体规划、研究方向，主持了本项目的整体技术研究及工程示范。孟召平为项目主要完成人，研究了下组煤煤层气赋存状态及赋存特征，建立了采空区下组煤煤层气资源量评价新方法。贺光会为项目主要完成人，研发了跟管钻进过采空区钻井工艺，完成钻井、压裂及排采工程的方案设计及工程实施。季长江对过采空区安全钻井成套技术及井身结构的建立作出贡献，并开展了钻井方案、压裂及排采方案的设计与实施工作。李军军研发了采空区下组煤煤层气地面井的井身结构，对地面钻井过采空区成套系统的研发作出贡献。陈召英研究了采空区顶板裂隙带演化规律研究，为过采空区抽采下组煤层气井井身结构的研发作出贡献。鲁博协调开展寺河矿区下组煤煤层气抽采项目的钻井、压裂及排采工程的方案设计及工程实施。武杰对项目研究过程中涉及到的煤储层参数进行测试与分析，为采空区顶底板裂隙时空演化规律及分布特征作出贡献。张典坤开展了过采空区煤层气井井位优选方法研究，为过采空区抽采下组煤煤层气井排采制度和压裂工艺的建立作出贡献。刘洪太研发了采空卸压区下煤组煤储层防压穿压裂工艺，编制了过采空区抽采下组煤煤层气井排采制度。</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textAlignment w:val="auto"/>
        <w:rPr>
          <w:rFonts w:ascii="黑体" w:hAnsi="黑体" w:eastAsia="黑体"/>
          <w:bCs/>
          <w:sz w:val="32"/>
          <w:szCs w:val="32"/>
        </w:rPr>
      </w:pPr>
      <w:r>
        <w:rPr>
          <w:rFonts w:hint="eastAsia" w:ascii="黑体" w:hAnsi="黑体" w:eastAsia="黑体"/>
          <w:bCs/>
          <w:sz w:val="32"/>
          <w:szCs w:val="32"/>
          <w:lang w:eastAsia="zh-CN"/>
        </w:rPr>
        <w:t>　　</w:t>
      </w:r>
      <w:r>
        <w:rPr>
          <w:rFonts w:hint="eastAsia" w:ascii="方正仿宋_GBK" w:hAnsi="方正仿宋_GBK" w:eastAsia="方正仿宋_GBK" w:cs="方正仿宋_GBK"/>
          <w:b/>
          <w:bCs w:val="0"/>
          <w:kern w:val="2"/>
          <w:sz w:val="32"/>
          <w:szCs w:val="32"/>
          <w:lang w:val="en-US" w:eastAsia="zh-CN" w:bidi="ar-SA"/>
        </w:rPr>
        <w:t>（二）项目名称</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highlight w:val="none"/>
        </w:rPr>
        <w:t>不锈钢手机机构件精密加工非标刀具关键技术及应用</w:t>
      </w:r>
    </w:p>
    <w:p>
      <w:pPr>
        <w:keepNext w:val="0"/>
        <w:keepLines w:val="0"/>
        <w:pageBreakBefore w:val="0"/>
        <w:widowControl w:val="0"/>
        <w:kinsoku/>
        <w:wordWrap/>
        <w:overflowPunct/>
        <w:topLinePunct w:val="0"/>
        <w:autoSpaceDE/>
        <w:autoSpaceDN/>
        <w:bidi w:val="0"/>
        <w:adjustRightInd/>
        <w:snapToGrid/>
        <w:spacing w:line="580" w:lineRule="exact"/>
        <w:ind w:left="0" w:firstLine="642"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提名单位</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rPr>
        <w:t>晋城市</w:t>
      </w:r>
    </w:p>
    <w:p>
      <w:pPr>
        <w:keepNext w:val="0"/>
        <w:keepLines w:val="0"/>
        <w:pageBreakBefore w:val="0"/>
        <w:widowControl w:val="0"/>
        <w:kinsoku/>
        <w:wordWrap/>
        <w:overflowPunct/>
        <w:topLinePunct w:val="0"/>
        <w:autoSpaceDE/>
        <w:autoSpaceDN/>
        <w:bidi w:val="0"/>
        <w:adjustRightInd/>
        <w:snapToGrid/>
        <w:spacing w:line="580" w:lineRule="exact"/>
        <w:ind w:left="0" w:firstLine="642"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提名单位意见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方正仿宋_GBK" w:hAnsi="方正仿宋_GBK" w:eastAsia="方正仿宋_GBK" w:cs="方正仿宋_GBK"/>
          <w:b/>
          <w:bCs w:val="0"/>
          <w:kern w:val="2"/>
          <w:sz w:val="32"/>
          <w:szCs w:val="32"/>
          <w:lang w:val="en-US" w:eastAsia="zh-CN" w:bidi="ar-SA"/>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val="0"/>
        <w:kinsoku/>
        <w:wordWrap/>
        <w:overflowPunct/>
        <w:topLinePunct w:val="0"/>
        <w:autoSpaceDE/>
        <w:autoSpaceDN/>
        <w:bidi w:val="0"/>
        <w:adjustRightInd/>
        <w:snapToGrid/>
        <w:spacing w:line="580" w:lineRule="exact"/>
        <w:ind w:left="0" w:firstLine="642" w:firstLineChars="200"/>
        <w:textAlignment w:val="auto"/>
        <w:rPr>
          <w:rFonts w:hint="eastAsia" w:ascii="方正仿宋_GBK" w:hAnsi="方正仿宋_GBK" w:eastAsia="方正仿宋_GBK" w:cs="方正仿宋_GBK"/>
          <w:b/>
          <w:bCs w:val="0"/>
          <w:kern w:val="2"/>
          <w:sz w:val="32"/>
          <w:szCs w:val="32"/>
          <w:lang w:val="en-US" w:eastAsia="zh-CN" w:bidi="ar-SA"/>
        </w:rPr>
      </w:pPr>
      <w:r>
        <w:rPr>
          <w:rFonts w:hint="eastAsia" w:ascii="方正仿宋_GBK" w:hAnsi="方正仿宋_GBK" w:eastAsia="方正仿宋_GBK" w:cs="方正仿宋_GBK"/>
          <w:b/>
          <w:bCs w:val="0"/>
          <w:kern w:val="2"/>
          <w:sz w:val="32"/>
          <w:szCs w:val="32"/>
          <w:lang w:val="en-US" w:eastAsia="zh-CN" w:bidi="ar-SA"/>
        </w:rPr>
        <w:t>项目简介</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主要科技内容：</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1.开发高润湿性柔性混合球磨技术，并采用多组分化学位差异原理进行粒度搭配技术、碳含量控制技术等关键技术促使硬质合金晶粒均匀长大、提升碳化物单晶强度、增强材料抗磨粒磨损性能，开发了手机机构件加工非标刀具用强度、硬度、韧性优化组合的硬质合金材料，并规模化生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2.开发刀具流体钝化工艺、Si掺杂强化渐变涂层和调幅磁场涂层技术，提高了硬质合金非标刀具刃口涂层抗脱落、耐磨性、耐热性以及涂层的均匀性。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3.研究了基于产品结构、外观质量、制造工艺、刀具材料、刀具结构等关键因素的匹配映射关系，以及非标刀具磨削时结构参数、砂轮微观立体几何尺寸对磨削尺寸的补偿关系，开发基于大数据的非标刀具智能开发、智能调机及磨削补偿模型，实现非标刀具快速、高效、精准开发及规模化生产。</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技术经济指标：</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项目通过中国有色金属工业协会组织的院士专家团队科技成果评价，整体技术达到国际领先水平。硬质合金刀具材料的断裂韧性相较于国内外同类产品高11%；刀具轮廓精度控制在±0.005mm以内，高于行业水平轮廓精度±0.01mm；粗加工效率提高了1倍；刀具寿命是同类刀具的1.5倍以上，技术指标在行业内处于领先地位。该项目共获国家授权发明专利8项，软著1项。近三年生产项目相关手机精密机构件总数超过1.5亿件，直接经济效益超120亿元，间接经济效益达2400亿元。</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b w:val="0"/>
          <w:bCs w:val="0"/>
          <w:sz w:val="32"/>
          <w:szCs w:val="32"/>
          <w:highlight w:val="none"/>
        </w:rPr>
      </w:pPr>
      <w:r>
        <w:rPr>
          <w:rFonts w:hint="eastAsia" w:ascii="仿宋_GB2312" w:hAnsi="仿宋_GB2312" w:eastAsia="仿宋_GB2312" w:cs="仿宋_GB2312"/>
          <w:b w:val="0"/>
          <w:bCs w:val="0"/>
          <w:sz w:val="32"/>
          <w:szCs w:val="32"/>
          <w:highlight w:val="none"/>
        </w:rPr>
        <w:t>促进行业科技进步作用：</w:t>
      </w:r>
    </w:p>
    <w:p>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val="0"/>
          <w:bCs w:val="0"/>
          <w:sz w:val="32"/>
          <w:szCs w:val="32"/>
          <w:highlight w:val="none"/>
        </w:rPr>
        <w:t>新技术大幅提升我国精密刀具行业技术水平、提高了手机机构件加工品质、效率及稳定性，提升了我国手机产品国际竞争力。</w:t>
      </w:r>
    </w:p>
    <w:p>
      <w:pPr>
        <w:spacing w:line="440" w:lineRule="exact"/>
        <w:ind w:firstLine="642"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客观评价</w:t>
      </w:r>
    </w:p>
    <w:p>
      <w:pPr>
        <w:rPr>
          <w:rFonts w:ascii="经典宋体简" w:eastAsia="经典宋体简"/>
          <w:b/>
          <w:sz w:val="28"/>
          <w:szCs w:val="28"/>
        </w:rPr>
      </w:pPr>
      <w:r>
        <w:rPr>
          <w:rFonts w:hint="eastAsia"/>
          <w:lang w:eastAsia="zh-CN"/>
        </w:rPr>
        <w:t>　</w:t>
      </w:r>
      <w:r>
        <w:drawing>
          <wp:inline distT="0" distB="0" distL="114300" distR="114300">
            <wp:extent cx="2347595" cy="2747010"/>
            <wp:effectExtent l="0" t="0" r="14605" b="1524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7"/>
                    <a:srcRect l="8917" t="7442" r="-2" b="11644"/>
                    <a:stretch>
                      <a:fillRect/>
                    </a:stretch>
                  </pic:blipFill>
                  <pic:spPr>
                    <a:xfrm>
                      <a:off x="0" y="0"/>
                      <a:ext cx="2347595" cy="2747010"/>
                    </a:xfrm>
                    <a:prstGeom prst="rect">
                      <a:avLst/>
                    </a:prstGeom>
                    <a:noFill/>
                    <a:ln>
                      <a:noFill/>
                    </a:ln>
                  </pic:spPr>
                </pic:pic>
              </a:graphicData>
            </a:graphic>
          </wp:inline>
        </w:drawing>
      </w:r>
      <w:r>
        <w:rPr>
          <w:rFonts w:ascii="经典宋体简" w:eastAsia="经典宋体简"/>
          <w:b/>
          <w:sz w:val="28"/>
          <w:szCs w:val="28"/>
        </w:rPr>
        <w:t xml:space="preserve"> </w:t>
      </w:r>
      <w:r>
        <w:rPr>
          <w:rFonts w:hint="eastAsia" w:ascii="经典宋体简" w:eastAsia="经典宋体简"/>
          <w:b/>
          <w:sz w:val="28"/>
          <w:szCs w:val="28"/>
          <w:lang w:eastAsia="zh-CN"/>
        </w:rPr>
        <w:t>　　　</w:t>
      </w:r>
      <w:r>
        <w:drawing>
          <wp:inline distT="0" distB="0" distL="114300" distR="114300">
            <wp:extent cx="2101215" cy="2684780"/>
            <wp:effectExtent l="0" t="0" r="13335" b="127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8"/>
                    <a:srcRect l="7886" t="9676" r="11171" b="8281"/>
                    <a:stretch>
                      <a:fillRect/>
                    </a:stretch>
                  </pic:blipFill>
                  <pic:spPr>
                    <a:xfrm>
                      <a:off x="0" y="0"/>
                      <a:ext cx="2101215" cy="2684780"/>
                    </a:xfrm>
                    <a:prstGeom prst="rect">
                      <a:avLst/>
                    </a:prstGeom>
                    <a:noFill/>
                    <a:ln>
                      <a:noFill/>
                    </a:ln>
                  </pic:spPr>
                </pic:pic>
              </a:graphicData>
            </a:graphic>
          </wp:inline>
        </w:drawing>
      </w:r>
    </w:p>
    <w:p>
      <w:pPr>
        <w:spacing w:line="440" w:lineRule="exact"/>
        <w:ind w:firstLine="642" w:firstLineChars="200"/>
        <w:rPr>
          <w:rFonts w:hint="eastAsia" w:ascii="方正仿宋_GBK" w:hAnsi="方正仿宋_GBK" w:eastAsia="方正仿宋_GBK" w:cs="方正仿宋_GBK"/>
          <w:b/>
          <w:bCs w:val="0"/>
          <w:sz w:val="32"/>
          <w:szCs w:val="32"/>
        </w:rPr>
      </w:pPr>
      <w:r>
        <w:rPr>
          <w:rFonts w:hint="eastAsia" w:ascii="方正仿宋_GBK" w:hAnsi="方正仿宋_GBK" w:eastAsia="方正仿宋_GBK" w:cs="方正仿宋_GBK"/>
          <w:b/>
          <w:bCs w:val="0"/>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本项目研发的不锈钢手机机构件精密加工非标刀具关键技术，从 2017 年开始逐步在富士康工业互联网公司推广应用于生产，项目成果主要用于加工不锈钢手机机构件，大幅度提高了机械加工效率，降低了客户制造成本，满足了客户的高效、高品质需求。项目从 2017 年到 2022 年，开发并大规模化生产硬质合金非标刀具规格 1700 余款，刀具数量 6100 多万支，近三年项目生产相关手机精密机构件总数超过 1.5 亿件，经济效益达 120 亿</w:t>
      </w:r>
      <w:r>
        <w:rPr>
          <w:rFonts w:hint="eastAsia" w:ascii="仿宋_GB2312" w:hAnsi="仿宋_GB2312" w:eastAsia="仿宋_GB2312" w:cs="仿宋_GB2312"/>
          <w:sz w:val="32"/>
          <w:szCs w:val="32"/>
          <w:highlight w:val="none"/>
          <w:lang w:val="en-US" w:eastAsia="zh-CN"/>
        </w:rPr>
        <w:t>元</w:t>
      </w:r>
      <w:r>
        <w:rPr>
          <w:rFonts w:hint="eastAsia" w:ascii="仿宋_GB2312" w:hAnsi="仿宋_GB2312" w:eastAsia="仿宋_GB2312" w:cs="仿宋_GB2312"/>
          <w:sz w:val="32"/>
          <w:szCs w:val="32"/>
          <w:highlight w:val="none"/>
        </w:rPr>
        <w:t>。同时项目相关高光不锈钢非标刀具成果曾获得 2020 年广东省职工“五小”创新成果竞赛银奖，“一站式精密刀具磨削 APP”获得 2019 年中国工业互联网大赛一等奖，以及“智能制造示范企业”，“中国标杆智能工厂”，“国家级绿色工厂”称号。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典型应用情况如下：1.高性能不锈钢手机机构件非标轮廓硬质合金刀具，用于不锈钢手机中框加工，轮廓一体成型，实现了以铣代磨，生产效率高，同时减少抛光处理，避免了抛光过程中粉尘和碎屑的产生，保障了员工的身体健康，改善了生产环境。2.不锈钢手机机构件高光倒角加工：本项目高光倒角刀具上机良率是普通刀具的 1.8倍以上，大幅度提升了产品加工良率，加工表面粗糙度达到 Ra0.1μm 以下，同时也减少了现场加工人员的换刀频率，降低了工人的劳动强度。3.建立硬质合金磨削自动化生产线，实现了硬质合金圆件磨削实时监控补偿及返工系统，同时自主开发五轴工具磨床，批量应用于硬质合金磨削加工。</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sz w:val="32"/>
          <w:szCs w:val="32"/>
          <w:highlight w:val="none"/>
        </w:rPr>
      </w:pPr>
      <w:r>
        <w:rPr>
          <w:rFonts w:hint="eastAsia" w:ascii="仿宋_GB2312" w:hAnsi="仿宋_GB2312" w:eastAsia="仿宋_GB2312" w:cs="仿宋_GB2312"/>
          <w:sz w:val="32"/>
          <w:szCs w:val="32"/>
          <w:highlight w:val="none"/>
        </w:rPr>
        <w:t>项目突破了不锈钢手机机构件加工用刀具技术，已大规模应用于高端智能手机行业，推动了高效规模化生产技术的发展，相关核心共性技术推广应用到铝合金、钛合金、模具钢等相关材料加工产品中，可推广到汽车、轨道交通、航空航天、医疗器械等领域，对促进国家制造业高质量发展具有重大的战略意义</w:t>
      </w:r>
      <w:r>
        <w:rPr>
          <w:rFonts w:hint="eastAsia" w:ascii="仿宋" w:hAnsi="仿宋" w:eastAsia="仿宋"/>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主要知识产权证明目录</w:t>
      </w:r>
    </w:p>
    <w:tbl>
      <w:tblPr>
        <w:tblStyle w:val="8"/>
        <w:tblW w:w="92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1575"/>
        <w:gridCol w:w="1500"/>
        <w:gridCol w:w="1787"/>
        <w:gridCol w:w="1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59"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授权项目名称</w:t>
            </w:r>
          </w:p>
        </w:tc>
        <w:tc>
          <w:tcPr>
            <w:tcW w:w="1575"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知识产权类别</w:t>
            </w:r>
          </w:p>
        </w:tc>
        <w:tc>
          <w:tcPr>
            <w:tcW w:w="1500"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国（区）别</w:t>
            </w:r>
          </w:p>
        </w:tc>
        <w:tc>
          <w:tcPr>
            <w:tcW w:w="1787"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申请号</w:t>
            </w:r>
          </w:p>
        </w:tc>
        <w:tc>
          <w:tcPr>
            <w:tcW w:w="1860" w:type="dxa"/>
            <w:noWrap w:val="0"/>
            <w:vAlign w:val="center"/>
          </w:tcPr>
          <w:p>
            <w:pPr>
              <w:jc w:val="center"/>
              <w:rPr>
                <w:rFonts w:hint="eastAsia" w:ascii="仿宋" w:hAnsi="仿宋" w:eastAsia="仿宋" w:cs="仿宋"/>
                <w:b/>
                <w:kern w:val="0"/>
                <w:sz w:val="22"/>
                <w:highlight w:val="none"/>
              </w:rPr>
            </w:pPr>
            <w:r>
              <w:rPr>
                <w:rFonts w:hint="eastAsia" w:ascii="仿宋" w:hAnsi="仿宋" w:eastAsia="仿宋" w:cs="仿宋"/>
                <w:b/>
                <w:kern w:val="0"/>
                <w:sz w:val="22"/>
                <w:highlight w:val="none"/>
              </w:rPr>
              <w:t>授权号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钨钴类硬质合金的制备</w:t>
            </w:r>
          </w:p>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201811014274.0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ZL201811014274.0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用于晶粒结构金相分析的合金金属表面处理方法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201910890479.3</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ZL201910890479.3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超细硬质合金的制备方法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201811050920.0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ZL201811050920.0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硬质合金挤压成型的制备方法</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201811015510.0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ZL201811015510.0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一种切削刀具</w:t>
            </w:r>
          </w:p>
        </w:tc>
        <w:tc>
          <w:tcPr>
            <w:tcW w:w="1575"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bCs/>
                <w:kern w:val="0"/>
                <w:sz w:val="22"/>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202010052186.0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ZL202010052186.0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弧源装置及弧源磁场调节方法</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201811204494.X</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ZL201811204494.X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弧源装置及该弧源装置的弧源磁场的调节方法</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201811204516.2</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ZL201811204516.2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组件安装定位方法、装置、计算机装置及存储介质</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发明专利</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202010064039.5</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ZL202010064039.5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559"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刀具在线检测系统V 1.0</w:t>
            </w:r>
          </w:p>
        </w:tc>
        <w:tc>
          <w:tcPr>
            <w:tcW w:w="1575"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计算机软件著作权</w:t>
            </w:r>
          </w:p>
        </w:tc>
        <w:tc>
          <w:tcPr>
            <w:tcW w:w="150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rPr>
              <w:t>中国</w:t>
            </w:r>
          </w:p>
        </w:tc>
        <w:tc>
          <w:tcPr>
            <w:tcW w:w="1787"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2018SR356130</w:t>
            </w:r>
          </w:p>
        </w:tc>
        <w:tc>
          <w:tcPr>
            <w:tcW w:w="1860" w:type="dxa"/>
            <w:noWrap w:val="0"/>
            <w:vAlign w:val="center"/>
          </w:tcPr>
          <w:p>
            <w:pPr>
              <w:snapToGrid w:val="0"/>
              <w:spacing w:line="240" w:lineRule="exact"/>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2018SR356130</w:t>
            </w:r>
          </w:p>
        </w:tc>
      </w:tr>
    </w:tbl>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黑体" w:hAnsi="黑体" w:eastAsia="黑体" w:cs="黑体"/>
          <w:b/>
          <w:bCs/>
          <w:sz w:val="32"/>
          <w:szCs w:val="32"/>
          <w:highlight w:val="none"/>
        </w:rPr>
      </w:pPr>
      <w:r>
        <w:rPr>
          <w:rFonts w:hint="eastAsia" w:ascii="黑体" w:hAnsi="黑体" w:eastAsia="黑体" w:cs="黑体"/>
          <w:b/>
          <w:bCs/>
          <w:sz w:val="32"/>
          <w:szCs w:val="32"/>
          <w:highlight w:val="none"/>
        </w:rPr>
        <w:t>主要完成人情况</w:t>
      </w:r>
    </w:p>
    <w:p>
      <w:pPr>
        <w:pStyle w:val="2"/>
        <w:keepNext w:val="0"/>
        <w:keepLines w:val="0"/>
        <w:pageBreakBefore w:val="0"/>
        <w:widowControl w:val="0"/>
        <w:kinsoku/>
        <w:wordWrap/>
        <w:overflowPunct/>
        <w:topLinePunct w:val="0"/>
        <w:autoSpaceDE/>
        <w:autoSpaceDN/>
        <w:bidi w:val="0"/>
        <w:adjustRightInd/>
        <w:snapToGrid/>
        <w:spacing w:line="580" w:lineRule="exact"/>
        <w:textAlignment w:val="auto"/>
        <w:rPr>
          <w:sz w:val="32"/>
          <w:szCs w:val="32"/>
        </w:rPr>
      </w:pPr>
      <w:r>
        <w:rPr>
          <w:rFonts w:hint="eastAsia" w:ascii="仿宋" w:hAnsi="仿宋" w:eastAsia="仿宋" w:cs="仿宋"/>
          <w:sz w:val="32"/>
          <w:szCs w:val="32"/>
          <w:highlight w:val="none"/>
          <w:lang w:val="en-US" w:eastAsia="zh-CN"/>
        </w:rPr>
        <w:t>　　</w:t>
      </w: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10</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highlight w:val="none"/>
          <w:lang w:val="en-US" w:eastAsia="zh-CN"/>
        </w:rPr>
        <w:t>李军旗</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蒋益民</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袁晓波</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徐文武</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安彦杰</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李云平</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成磊</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高水清</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朱岩</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田雨</w:t>
      </w:r>
      <w:r>
        <w:rPr>
          <w:rFonts w:hint="eastAsia" w:ascii="仿宋_GB2312" w:hAnsi="仿宋_GB2312" w:eastAsia="仿宋_GB2312" w:cs="仿宋_GB2312"/>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黑体" w:hAnsi="黑体" w:eastAsia="黑体" w:cs="黑体"/>
          <w:b/>
          <w:bCs/>
          <w:sz w:val="32"/>
          <w:szCs w:val="32"/>
          <w:highlight w:val="none"/>
          <w:lang w:eastAsia="zh-CN"/>
        </w:rPr>
      </w:pPr>
      <w:r>
        <w:rPr>
          <w:rFonts w:hint="eastAsia" w:ascii="黑体" w:hAnsi="黑体" w:eastAsia="黑体" w:cs="黑体"/>
          <w:b/>
          <w:bCs/>
          <w:sz w:val="32"/>
          <w:szCs w:val="32"/>
          <w:highlight w:val="none"/>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1、晋城富联鸿刃科技有限公司</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承担的主要工作：作为本项目的组织与实施牵头单位</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本项目中主导不锈钢手机机构件精密加工硬质合金非标刀具关键技术及应用的整体规划及协调，并进行硬质合金材料、刀具磨削工艺、及应用技术的开发</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2、深圳富联精匠科技有限公司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承担的主要工作：</w:t>
      </w:r>
      <w:r>
        <w:rPr>
          <w:rFonts w:hint="eastAsia" w:ascii="仿宋_GB2312" w:hAnsi="仿宋_GB2312" w:eastAsia="仿宋_GB2312" w:cs="仿宋_GB2312"/>
          <w:sz w:val="32"/>
          <w:szCs w:val="32"/>
          <w:highlight w:val="none"/>
          <w:lang w:val="en-US" w:eastAsia="zh-CN"/>
        </w:rPr>
        <w:t>在本项目中主导</w:t>
      </w:r>
      <w:r>
        <w:rPr>
          <w:rFonts w:hint="eastAsia" w:ascii="仿宋_GB2312" w:hAnsi="仿宋_GB2312" w:eastAsia="仿宋_GB2312" w:cs="仿宋_GB2312"/>
          <w:sz w:val="32"/>
          <w:szCs w:val="32"/>
          <w:highlight w:val="none"/>
        </w:rPr>
        <w:t>硬质合金非标刀具的设计、制造、及应用工艺的开发。</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val="en-US" w:eastAsia="zh-CN"/>
        </w:rPr>
        <w:t>中南大学</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承担的主要工作：参与对硬质合金材料的制备及涂层技术开发，及实验检测分析</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4、晋城市光机电产业研究院</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承担的主要工作：参与硬质合金材料的开发</w:t>
      </w:r>
      <w:r>
        <w:rPr>
          <w:rFonts w:hint="eastAsia" w:ascii="仿宋_GB2312" w:hAnsi="仿宋_GB2312" w:eastAsia="仿宋_GB2312" w:cs="仿宋_GB2312"/>
          <w:sz w:val="32"/>
          <w:szCs w:val="32"/>
          <w:highlight w:val="none"/>
          <w:lang w:eastAsia="zh-CN"/>
        </w:rPr>
        <w:t>，开发高润湿性柔性混合球磨技术，改善脱渗碳返烧工艺，脱蜡破碎补碳工艺，以及旋风料处理工艺。</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5</w:t>
      </w:r>
      <w:r>
        <w:rPr>
          <w:rFonts w:hint="eastAsia" w:ascii="仿宋_GB2312" w:hAnsi="仿宋_GB2312" w:eastAsia="仿宋_GB2312" w:cs="仿宋_GB2312"/>
          <w:sz w:val="32"/>
          <w:szCs w:val="32"/>
          <w:highlight w:val="none"/>
        </w:rPr>
        <w:t xml:space="preserve">、晋城鸿智纳米光机电研究院有限公司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承担的主要工作：提出加强材料抗崩性的多组份化学位差异法</w:t>
      </w:r>
      <w:r>
        <w:rPr>
          <w:rFonts w:hint="eastAsia" w:ascii="仿宋_GB2312" w:hAnsi="仿宋_GB2312" w:eastAsia="仿宋_GB2312" w:cs="仿宋_GB2312"/>
          <w:sz w:val="32"/>
          <w:szCs w:val="32"/>
          <w:highlight w:val="none"/>
          <w:lang w:val="en-US" w:eastAsia="zh-CN"/>
        </w:rPr>
        <w:t>以及协助硬质合金材料的样品制备及小批量生产验证。</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highlight w:val="none"/>
        </w:rPr>
        <w:t xml:space="preserve">、深圳市圆梦精密技术研究院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承担的主要工作：项目中主要对硬质合金非标刀具的设计进行技术指导</w:t>
      </w:r>
      <w:r>
        <w:rPr>
          <w:rFonts w:hint="eastAsia" w:ascii="仿宋_GB2312" w:hAnsi="仿宋_GB2312" w:eastAsia="仿宋_GB2312" w:cs="仿宋_GB2312"/>
          <w:sz w:val="32"/>
          <w:szCs w:val="32"/>
          <w:highlight w:val="none"/>
          <w:lang w:eastAsia="zh-CN"/>
        </w:rPr>
        <w:t>，对硬质合金非标刀具大规模化生产存在</w:t>
      </w:r>
      <w:r>
        <w:rPr>
          <w:rFonts w:hint="eastAsia" w:ascii="仿宋_GB2312" w:hAnsi="仿宋_GB2312" w:eastAsia="仿宋_GB2312" w:cs="仿宋_GB2312"/>
          <w:sz w:val="32"/>
          <w:szCs w:val="32"/>
          <w:highlight w:val="none"/>
          <w:lang w:val="en-US" w:eastAsia="zh-CN"/>
        </w:rPr>
        <w:t>的问题进行解决以及协助五轴精密工具磨削设备及非标成型刀具设计加工软件系统的研究开发。</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textAlignment w:val="auto"/>
        <w:rPr>
          <w:rFonts w:hint="eastAsia" w:ascii="黑体" w:hAnsi="黑体" w:eastAsia="黑体" w:cs="黑体"/>
          <w:b/>
          <w:color w:val="FF0000"/>
          <w:sz w:val="32"/>
          <w:szCs w:val="32"/>
        </w:rPr>
      </w:pPr>
      <w:r>
        <w:rPr>
          <w:rFonts w:hint="eastAsia" w:ascii="黑体" w:hAnsi="黑体" w:eastAsia="黑体" w:cs="黑体"/>
          <w:b/>
          <w:color w:val="auto"/>
          <w:sz w:val="32"/>
          <w:szCs w:val="32"/>
        </w:rPr>
        <w:t>完成人合作关系说明</w:t>
      </w:r>
    </w:p>
    <w:p>
      <w:pPr>
        <w:pStyle w:val="14"/>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lang w:eastAsia="zh-CN"/>
        </w:rPr>
        <w:t>　</w:t>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李军旗：刀具流体钝化工艺、微刃口结构以及涂层弧源装置技术开发。蒋益民：新型材料开发、刃型结构设计以及涂层渐变结构设计。袁晓波：开发非标刀具用强度、硬度、韧性优化组合的硬质合金材料。徐文武：精密圆件磨削及刃型磨削智能调机、反馈补偿控制解决方案。安彦杰：大数据非标刀具智能设计系统开发、刀具涂层后钝化技术。李云平：提出采用多组分化学位差异原理进行硬质合金粉末粒度搭配。成磊：开发高润湿性柔性混合球磨技术。高水清：提出特殊刃口面铣削适应性结构设计。朱岩：开发弧源磁场装置，实现磁场新的调节方法。田雨：提出基于 SVR-PSO 算法进行刀具刃型设计及迭代优化。</w:t>
      </w:r>
    </w:p>
    <w:p>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项目名称</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sz w:val="32"/>
          <w:szCs w:val="32"/>
        </w:rPr>
        <w:t>海洋石油固井专用空心玻璃微球工程化技术及应用</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widowControl/>
        <w:suppressLineNumbers w:val="0"/>
        <w:kinsoku/>
        <w:wordWrap/>
        <w:overflowPunct/>
        <w:topLinePunct w:val="0"/>
        <w:autoSpaceDE/>
        <w:autoSpaceDN/>
        <w:bidi w:val="0"/>
        <w:adjustRightIn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项目简介</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该技术成果属于无机非金属材料领域中特种玻璃类（空心玻璃微球）制品的制造方法及工艺技术范畴，涉及原材料选择、配方及组成，坯体制备、成型以及玻璃化成球、收集和分选等重要工序过程。应用领域和技术原理主要涉及化学原理、化学工程技术和无机非金属材料制备等学科。该技术采用造粒法制备海洋石油固井专用空心玻璃微球，其主要创新点包括：（1）原料配方创新及优化；（2）连续化生产新工艺；（3）创新坯体-空气-燃气预混喷射燃烧器关键技术。历经十余年，该项目从实验室小试中试到百吨级、千吨级逐级放大的过程中，突破了工程化关键技术，建成了国内唯一万吨级规模的生产线，产品质量稳定，在我国海洋石油固井方面得到应用。</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客观评价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该项目通过中国石油和化学工业联合会组织的专家鉴定，该技术总体达到国际先进水平。该项目的实施，打破了国外技术封锁，替代进口，降低成本，对我国海洋石油开采和国家深水战略做出了重大贡献。</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从2015年至今，山西海诺科技股份公司累计为中国海洋石油集团供应固井空心玻璃微球10000余吨，实现销售收入2亿元以上，利润2015万元以上。公司不断依靠技术升级，促使价格降至进口产品的1/3，为用户节省成本4亿元以上，产品完全满足海上石油开采固井水泥浆用玻璃微球的全面质量和技术指标要求，为我国海洋石油开采事业蓬勃发展做出了重大贡献。</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主要知识产权证明目录</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发明专利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1.一种空心玻璃微珠的制备方法，申请人：山西海诺科技股份有限公司，授权日：201</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1。</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2.一种建筑墙体用抗裂勾缝剂及其制备方法，申请人：山西海诺科技股份有限公司，授权日：20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.0</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25</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3.一种表面包覆纳米 Fe</w:t>
      </w:r>
      <w:r>
        <w:rPr>
          <w:rFonts w:hint="eastAsia" w:ascii="仿宋_GB2312" w:hAnsi="仿宋_GB2312" w:eastAsia="仿宋_GB2312" w:cs="仿宋_GB2312"/>
          <w:sz w:val="32"/>
          <w:szCs w:val="32"/>
          <w:vertAlign w:val="subscript"/>
        </w:rPr>
        <w:t>3</w:t>
      </w:r>
      <w:r>
        <w:rPr>
          <w:rFonts w:hint="eastAsia" w:ascii="仿宋_GB2312" w:hAnsi="仿宋_GB2312" w:eastAsia="仿宋_GB2312" w:cs="仿宋_GB2312"/>
          <w:sz w:val="32"/>
          <w:szCs w:val="32"/>
        </w:rPr>
        <w:t>O</w:t>
      </w:r>
      <w:r>
        <w:rPr>
          <w:rFonts w:hint="eastAsia" w:ascii="仿宋_GB2312" w:hAnsi="仿宋_GB2312" w:eastAsia="仿宋_GB2312" w:cs="仿宋_GB2312"/>
          <w:sz w:val="32"/>
          <w:szCs w:val="32"/>
          <w:vertAlign w:val="subscript"/>
        </w:rPr>
        <w:t>4</w:t>
      </w:r>
      <w:r>
        <w:rPr>
          <w:rFonts w:hint="eastAsia" w:ascii="仿宋_GB2312" w:hAnsi="仿宋_GB2312" w:eastAsia="仿宋_GB2312" w:cs="仿宋_GB2312"/>
          <w:sz w:val="32"/>
          <w:szCs w:val="32"/>
        </w:rPr>
        <w:t>改性空心玻璃微珠及其制备方法，申请人：山西海诺科技股份有限公司，授权日：20</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0。</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4.一种聚氨酯仿木材料及其制备方法，申请人：山西海诺科技股份有限公司，授权日：20</w:t>
      </w:r>
      <w:r>
        <w:rPr>
          <w:rFonts w:hint="eastAsia"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06</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08</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5.一种超重力脱除气体中细颗粒物的装置和方法，申请人：中北大学，授权日：2018.06.26。</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6.一种并列式微撞击流混合装置及其使用方法，申请人：中北大学，授权日：2022.8.19。</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实用新型专利</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7.一种用于空心玻璃微珠制程中的除尘设备，申请人：山西海诺科技股份有限公司，授权日:2017.07.28。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8.一种用于包装空心玻璃微珠的包装机，申请人：山西海诺科技股份有限公司，授权日：2017.09.08。</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9.一种用于空心玻璃微珠制程中的搅拌式反应釜，申请人：山西海诺科技股份有限公司，授权日：2017.09.22。</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10.空心玻璃微珠浮选装置，申请人：山西海诺科技股份有限公司，授权日：2023.05.19，</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11.空心玻璃微珠成球炉，申请人：山西海诺科技股份有限公司，授权日：2023.06.27。</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sz w:val="32"/>
          <w:szCs w:val="32"/>
        </w:rPr>
        <w:t>12.空心玻璃微珠分级设备，申请人：山西海诺科技股份有限公司，授权日：2023.09.12。</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主要完成人情况：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10</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rPr>
        <w:t>袁志国、吴海波、曹翔宇、申鹏展、李玉梁、索建宝、祁极冰、张秀玲、吴安前、杨东有。</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山西海诺科技股份有限公司：主研原料配方创新及优化、连续化生产新工艺、坯体-空气-燃气预混喷射燃烧器关键技术，负责装置逐级放大及实施、产品应用推广。</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中国科学院宁波材料与工程研究所：连续化生产新工艺研究。</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中北大学：坯体-空气-燃气预混喷射燃烧器关键技术。</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太原学院：原料配方创新及优化研究。</w:t>
      </w:r>
    </w:p>
    <w:p>
      <w:pPr>
        <w:keepNext w:val="0"/>
        <w:keepLines w:val="0"/>
        <w:pageBreakBefore w:val="0"/>
        <w:widowControl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bCs/>
          <w:sz w:val="32"/>
          <w:szCs w:val="32"/>
        </w:rPr>
      </w:pPr>
      <w:r>
        <w:rPr>
          <w:rFonts w:hint="eastAsia" w:ascii="方正仿宋_GBK" w:hAnsi="方正仿宋_GBK" w:eastAsia="方正仿宋_GBK" w:cs="方正仿宋_GBK"/>
          <w:b/>
          <w:bCs/>
          <w:sz w:val="32"/>
          <w:szCs w:val="32"/>
        </w:rPr>
        <w:t>完成人合作关系说明：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完成人均为该项目的主要完成人。袁志国是第一完成人，是该项目技术总体负责人，并负责坯体-空气-燃气预混喷射燃烧器关键技术研究。吴海波是第二完成人和连续化新工艺开发子课题组长。曹翔宇是原料配方创新及优化研究的子课题组长。申鹏展负责装置逐级放大及实施，主研原料配方创新及优化、连续化生产新工艺等。李玉梁、索建宝、祁极冰、张秀玲、吴安前、杨东有都是各课题的主要研究骨干。</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b/>
          <w:sz w:val="28"/>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lang w:eastAsia="zh-CN"/>
        </w:rPr>
        <w:t>（四）</w:t>
      </w:r>
      <w:r>
        <w:rPr>
          <w:rFonts w:hint="eastAsia" w:ascii="方正仿宋_GBK" w:hAnsi="方正仿宋_GBK" w:eastAsia="方正仿宋_GBK" w:cs="方正仿宋_GBK"/>
          <w:b/>
          <w:bCs/>
          <w:sz w:val="32"/>
          <w:szCs w:val="32"/>
        </w:rPr>
        <w:t>项目名称</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煤矿智能掘锚一体关键技术与应用</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napToGri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ascii="仿宋" w:hAnsi="仿宋" w:eastAsia="仿宋"/>
          <w:sz w:val="28"/>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b/>
          <w:sz w:val="28"/>
        </w:rPr>
      </w:pPr>
      <w:r>
        <w:rPr>
          <w:rFonts w:hint="eastAsia" w:ascii="仿宋" w:hAnsi="仿宋" w:eastAsia="仿宋"/>
          <w:b/>
          <w:sz w:val="28"/>
          <w:lang w:eastAsia="zh-CN"/>
        </w:rPr>
        <w:t>　　</w:t>
      </w:r>
      <w:r>
        <w:rPr>
          <w:rFonts w:hint="eastAsia" w:ascii="方正仿宋_GBK" w:hAnsi="方正仿宋_GBK" w:eastAsia="方正仿宋_GBK" w:cs="方正仿宋_GBK"/>
          <w:b/>
          <w:bCs/>
          <w:sz w:val="32"/>
          <w:szCs w:val="32"/>
          <w:lang w:eastAsia="zh-CN"/>
        </w:rPr>
        <w:t>项目简介</w:t>
      </w:r>
    </w:p>
    <w:p>
      <w:pPr>
        <w:keepNext w:val="0"/>
        <w:keepLines w:val="0"/>
        <w:pageBreakBefore w:val="0"/>
        <w:kinsoku/>
        <w:wordWrap/>
        <w:overflowPunct/>
        <w:topLinePunct w:val="0"/>
        <w:autoSpaceDE/>
        <w:autoSpaceDN/>
        <w:bidi w:val="0"/>
        <w:adjustRightInd/>
        <w:snapToGrid/>
        <w:spacing w:line="580" w:lineRule="exact"/>
        <w:jc w:val="both"/>
        <w:textAlignment w:val="auto"/>
        <w:rPr>
          <w:rFonts w:ascii="仿宋" w:hAnsi="仿宋" w:eastAsia="仿宋"/>
          <w:sz w:val="32"/>
          <w:szCs w:val="32"/>
        </w:rPr>
      </w:pPr>
      <w:r>
        <w:rPr>
          <w:rFonts w:hint="eastAsia" w:ascii="仿宋" w:hAnsi="仿宋" w:eastAsia="仿宋"/>
          <w:b/>
          <w:sz w:val="28"/>
        </w:rPr>
        <w:t xml:space="preserve">    </w:t>
      </w:r>
      <w:r>
        <w:rPr>
          <w:rFonts w:hint="eastAsia" w:ascii="仿宋" w:hAnsi="仿宋" w:eastAsia="仿宋"/>
          <w:sz w:val="32"/>
          <w:szCs w:val="32"/>
        </w:rPr>
        <w:t>智能掘锚一体机是实现煤矿掘锚一体关键技术与应用的装备载体，适用于煤巷、半煤岩巷掘进效率低、工人劳动强度大、安全隐患多的矿井，可实现连续切割、装载、运输、锚杆支护等功能作业。是目前针对煤矿掘进领域解决机械化施工难题，实现高效、快速掘进的首选装备。</w:t>
      </w:r>
    </w:p>
    <w:p>
      <w:pPr>
        <w:keepNext w:val="0"/>
        <w:keepLines w:val="0"/>
        <w:pageBreakBefore w:val="0"/>
        <w:kinsoku/>
        <w:wordWrap/>
        <w:overflowPunct/>
        <w:topLinePunct w:val="0"/>
        <w:autoSpaceDE/>
        <w:autoSpaceDN/>
        <w:bidi w:val="0"/>
        <w:adjustRightInd/>
        <w:snapToGrid/>
        <w:spacing w:line="580" w:lineRule="exact"/>
        <w:ind w:firstLine="640" w:firstLineChars="200"/>
        <w:jc w:val="both"/>
        <w:textAlignment w:val="auto"/>
        <w:rPr>
          <w:rFonts w:hint="eastAsia" w:ascii="仿宋" w:hAnsi="仿宋" w:eastAsia="仿宋"/>
          <w:sz w:val="32"/>
          <w:szCs w:val="32"/>
        </w:rPr>
      </w:pPr>
      <w:r>
        <w:rPr>
          <w:rFonts w:hint="eastAsia" w:ascii="仿宋" w:hAnsi="仿宋" w:eastAsia="仿宋"/>
          <w:sz w:val="32"/>
          <w:szCs w:val="32"/>
        </w:rPr>
        <w:t>设计中采用掘进机和锚杆钻车结构互用、功能互用，实现掘锚一体化作业及掘锚互相切换。通过行走、铲板、输送、截割等部件完成对巷道的截割成形，通过全方位旋转的钻臂机构完成巷道顶板及侧帮锚杆支护的作业，智能掘锚一体机关键动作单元均基于电液比例控制技术，引入远程智能控制系统，通过数学模型结合多种传感器的使用，由计算机对掘进机截割臂的回转与升降进行控制，自动截割出规整断面。在实现锚杆支护功能方面，对锚钻系统的自动找孔、自动换钻杆、自动钻进与掘进机的优化配合进行关键技术攻关，机组设计的四台钻臂及锚杆钻进机构在截割作业完成后，可迅速的推移到巷道支护位置进行自动化钻孔施工作业，采用多钻臂多点多支的方式大幅提升支护效率。</w:t>
      </w:r>
    </w:p>
    <w:p>
      <w:pPr>
        <w:keepNext w:val="0"/>
        <w:keepLines w:val="0"/>
        <w:pageBreakBefore w:val="0"/>
        <w:kinsoku/>
        <w:wordWrap/>
        <w:overflowPunct/>
        <w:topLinePunct w:val="0"/>
        <w:autoSpaceDE/>
        <w:autoSpaceDN/>
        <w:bidi w:val="0"/>
        <w:adjustRightInd/>
        <w:snapToGrid/>
        <w:spacing w:line="580" w:lineRule="exact"/>
        <w:ind w:firstLine="642" w:firstLineChars="200"/>
        <w:jc w:val="both"/>
        <w:textAlignment w:val="auto"/>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客观评价</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方正仿宋_GBK" w:hAnsi="方正仿宋_GBK" w:eastAsia="方正仿宋_GBK" w:cs="方正仿宋_GBK"/>
          <w:sz w:val="32"/>
          <w:szCs w:val="32"/>
        </w:rPr>
      </w:pPr>
      <w:r>
        <w:rPr>
          <w:rFonts w:hint="eastAsia" w:ascii="仿宋_GB2312" w:hAnsi="仿宋_GB2312" w:eastAsia="仿宋_GB2312" w:cs="仿宋_GB2312"/>
          <w:sz w:val="32"/>
          <w:szCs w:val="32"/>
        </w:rPr>
        <w:t>公司自2011年开始专利申报，共申报专利123项，获得授权83项。截止至目前，公司有效专利68项，其中发明专利8项，实用新型专利60项。拥有注册商标7件，软件著作权2项。获得矿用产品安全标志证书的产品近70种。</w:t>
      </w:r>
    </w:p>
    <w:p>
      <w:pPr>
        <w:keepNext w:val="0"/>
        <w:keepLines w:val="0"/>
        <w:pageBreakBefore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sz w:val="32"/>
          <w:szCs w:val="32"/>
        </w:rPr>
      </w:pPr>
      <w:r>
        <w:rPr>
          <w:rFonts w:hint="eastAsia" w:ascii="仿宋" w:hAnsi="仿宋" w:eastAsia="仿宋"/>
          <w:b/>
          <w:sz w:val="28"/>
          <w:lang w:eastAsia="zh-CN"/>
        </w:rPr>
        <w:t>　　</w:t>
      </w:r>
      <w:r>
        <w:rPr>
          <w:rFonts w:hint="eastAsia" w:ascii="仿宋" w:hAnsi="仿宋" w:eastAsia="仿宋"/>
          <w:b/>
          <w:sz w:val="28"/>
          <w:lang w:val="en-US" w:eastAsia="zh-CN"/>
        </w:rPr>
        <w:t xml:space="preserve"> </w:t>
      </w:r>
      <w:r>
        <w:rPr>
          <w:rFonts w:hint="eastAsia" w:ascii="方正仿宋_GBK" w:hAnsi="方正仿宋_GBK" w:eastAsia="方正仿宋_GBK" w:cs="方正仿宋_GBK"/>
          <w:b/>
          <w:sz w:val="32"/>
          <w:szCs w:val="32"/>
        </w:rPr>
        <w:t>推广应用情况</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新型掘锚机的技术成果已在晋能控股、焦煤、华阳、阳泰等煤炭企业进行了推广应用，形成了成熟的煤巷掘进工艺技术、配套装备体系，机械化程度提高60%，掘进速度普遍比原有掘进速度提高了30%以上，有效缓解采掘接续紧张的局面，取得的直接经济效益达到4900万元以上，经济和社会效益显著，能够很好的解决我国目前掘进巷道过程的水平低、机械化程度低、工效低、工人劳动强度大等突出问题，对国内矿井巷道掘进效率提升具有明显的推动作用。对促进我国矿井的安全、高产、高效掘进具有重大意义。</w:t>
      </w:r>
    </w:p>
    <w:p>
      <w:pPr>
        <w:jc w:val="left"/>
        <w:rPr>
          <w:rFonts w:hint="eastAsia" w:ascii="黑体" w:hAnsi="黑体" w:eastAsia="黑体" w:cs="黑体"/>
          <w:b/>
          <w:bCs w:val="0"/>
          <w:sz w:val="32"/>
          <w:szCs w:val="32"/>
        </w:rPr>
      </w:pPr>
      <w:r>
        <w:rPr>
          <w:rFonts w:hint="eastAsia" w:ascii="黑体" w:hAnsi="黑体" w:eastAsia="黑体" w:cs="黑体"/>
          <w:b/>
          <w:sz w:val="32"/>
          <w:szCs w:val="32"/>
          <w:lang w:eastAsia="zh-CN"/>
        </w:rPr>
        <w:t>　　</w:t>
      </w:r>
      <w:r>
        <w:rPr>
          <w:rFonts w:hint="eastAsia" w:ascii="黑体" w:hAnsi="黑体" w:eastAsia="黑体" w:cs="黑体"/>
          <w:b/>
          <w:bCs w:val="0"/>
          <w:sz w:val="32"/>
          <w:szCs w:val="32"/>
        </w:rPr>
        <w:t>主要知识产权证明目录</w:t>
      </w:r>
    </w:p>
    <w:tbl>
      <w:tblPr>
        <w:tblStyle w:val="9"/>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4482"/>
        <w:gridCol w:w="1500"/>
        <w:gridCol w:w="2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4"/>
                <w:szCs w:val="24"/>
              </w:rPr>
            </w:pPr>
            <w:r>
              <w:rPr>
                <w:rFonts w:hint="eastAsia" w:ascii="仿宋" w:hAnsi="仿宋" w:eastAsia="仿宋"/>
                <w:sz w:val="24"/>
                <w:szCs w:val="24"/>
              </w:rPr>
              <w:t>序号</w:t>
            </w:r>
          </w:p>
        </w:tc>
        <w:tc>
          <w:tcPr>
            <w:tcW w:w="4482" w:type="dxa"/>
            <w:vAlign w:val="center"/>
          </w:tcPr>
          <w:p>
            <w:pPr>
              <w:jc w:val="center"/>
              <w:rPr>
                <w:rFonts w:ascii="仿宋" w:hAnsi="仿宋" w:eastAsia="仿宋"/>
                <w:sz w:val="24"/>
                <w:szCs w:val="24"/>
              </w:rPr>
            </w:pPr>
            <w:r>
              <w:rPr>
                <w:rFonts w:hint="eastAsia" w:ascii="仿宋" w:hAnsi="仿宋" w:eastAsia="仿宋"/>
                <w:sz w:val="24"/>
                <w:szCs w:val="24"/>
              </w:rPr>
              <w:t>专利名称</w:t>
            </w:r>
          </w:p>
        </w:tc>
        <w:tc>
          <w:tcPr>
            <w:tcW w:w="1500" w:type="dxa"/>
            <w:vAlign w:val="center"/>
          </w:tcPr>
          <w:p>
            <w:pPr>
              <w:jc w:val="center"/>
              <w:rPr>
                <w:rFonts w:ascii="仿宋" w:hAnsi="仿宋" w:eastAsia="仿宋"/>
                <w:sz w:val="24"/>
                <w:szCs w:val="24"/>
              </w:rPr>
            </w:pPr>
            <w:r>
              <w:rPr>
                <w:rFonts w:hint="eastAsia" w:ascii="仿宋" w:hAnsi="仿宋" w:eastAsia="仿宋"/>
                <w:sz w:val="24"/>
                <w:szCs w:val="24"/>
              </w:rPr>
              <w:t>专利类型</w:t>
            </w:r>
          </w:p>
        </w:tc>
        <w:tc>
          <w:tcPr>
            <w:tcW w:w="2162" w:type="dxa"/>
            <w:vAlign w:val="center"/>
          </w:tcPr>
          <w:p>
            <w:pPr>
              <w:jc w:val="center"/>
              <w:rPr>
                <w:rFonts w:ascii="仿宋" w:hAnsi="仿宋" w:eastAsia="仿宋"/>
                <w:sz w:val="24"/>
                <w:szCs w:val="24"/>
              </w:rPr>
            </w:pPr>
            <w:r>
              <w:rPr>
                <w:rFonts w:hint="eastAsia" w:ascii="仿宋" w:hAnsi="仿宋" w:eastAsia="仿宋"/>
                <w:sz w:val="24"/>
                <w:szCs w:val="24"/>
              </w:rPr>
              <w:t>专利号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1</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一种煤矿快速掘锚一体机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ascii="仿宋" w:hAnsi="仿宋" w:eastAsia="仿宋"/>
                <w:sz w:val="21"/>
                <w:szCs w:val="21"/>
              </w:rPr>
              <w:t>ZL 2017105925765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2</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一种全方位旋转的钻臂装置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ascii="仿宋" w:hAnsi="仿宋" w:eastAsia="仿宋"/>
                <w:sz w:val="21"/>
                <w:szCs w:val="21"/>
              </w:rPr>
              <w:t>ZL 201110207324.9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3</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一种负载敏感双液压缸同步系统及其控制方法</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hint="eastAsia" w:ascii="仿宋" w:hAnsi="仿宋" w:eastAsia="仿宋"/>
                <w:sz w:val="21"/>
                <w:szCs w:val="21"/>
              </w:rPr>
              <w:t>ZL 201910324780.8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4</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一种大惯量负载的协同驱动及无源主动制动方法</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发明</w:t>
            </w:r>
          </w:p>
        </w:tc>
        <w:tc>
          <w:tcPr>
            <w:tcW w:w="2162" w:type="dxa"/>
            <w:vAlign w:val="center"/>
          </w:tcPr>
          <w:p>
            <w:pPr>
              <w:jc w:val="center"/>
              <w:rPr>
                <w:rFonts w:ascii="仿宋" w:hAnsi="仿宋" w:eastAsia="仿宋"/>
                <w:sz w:val="21"/>
                <w:szCs w:val="21"/>
              </w:rPr>
            </w:pPr>
            <w:r>
              <w:rPr>
                <w:rFonts w:hint="eastAsia" w:ascii="仿宋" w:hAnsi="仿宋" w:eastAsia="仿宋"/>
                <w:sz w:val="21"/>
                <w:szCs w:val="21"/>
              </w:rPr>
              <w:t>ZL 201910960926.8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5</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一种探掘锚一体机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sz w:val="21"/>
                <w:szCs w:val="21"/>
              </w:rPr>
            </w:pPr>
            <w:r>
              <w:rPr>
                <w:rFonts w:ascii="仿宋" w:hAnsi="仿宋" w:eastAsia="仿宋"/>
                <w:sz w:val="21"/>
                <w:szCs w:val="21"/>
              </w:rPr>
              <w:t>ZL 201920250578.0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6</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一种可折叠的大面积操作平台装置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201920454131.5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7</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一种二级推进大行程滑轨装置</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201920455206.1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8</w:t>
            </w:r>
          </w:p>
        </w:tc>
        <w:tc>
          <w:tcPr>
            <w:tcW w:w="4482" w:type="dxa"/>
            <w:vAlign w:val="center"/>
          </w:tcPr>
          <w:p>
            <w:pPr>
              <w:jc w:val="center"/>
              <w:rPr>
                <w:rFonts w:ascii="仿宋" w:hAnsi="仿宋" w:eastAsia="仿宋" w:cs="宋体"/>
                <w:sz w:val="21"/>
                <w:szCs w:val="21"/>
              </w:rPr>
            </w:pPr>
            <w:r>
              <w:rPr>
                <w:rFonts w:hint="eastAsia" w:ascii="仿宋" w:hAnsi="仿宋" w:eastAsia="仿宋"/>
                <w:sz w:val="21"/>
                <w:szCs w:val="21"/>
              </w:rPr>
              <w:t>一种煤矿用自动化四臂掘锚一体机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cs="Times New Roman"/>
                <w:sz w:val="21"/>
                <w:szCs w:val="21"/>
              </w:rPr>
            </w:pPr>
            <w:r>
              <w:rPr>
                <w:rFonts w:ascii="仿宋" w:hAnsi="仿宋" w:eastAsia="仿宋" w:cs="Times New Roman"/>
                <w:sz w:val="21"/>
                <w:szCs w:val="21"/>
              </w:rPr>
              <w:t>ZL 201920454135.3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706" w:type="dxa"/>
            <w:vAlign w:val="center"/>
          </w:tcPr>
          <w:p>
            <w:pPr>
              <w:jc w:val="center"/>
              <w:rPr>
                <w:rFonts w:ascii="仿宋" w:hAnsi="仿宋" w:eastAsia="仿宋"/>
                <w:sz w:val="21"/>
                <w:szCs w:val="21"/>
              </w:rPr>
            </w:pPr>
            <w:r>
              <w:rPr>
                <w:rFonts w:hint="eastAsia" w:ascii="仿宋" w:hAnsi="仿宋" w:eastAsia="仿宋"/>
                <w:sz w:val="21"/>
                <w:szCs w:val="21"/>
              </w:rPr>
              <w:t>9</w:t>
            </w:r>
          </w:p>
        </w:tc>
        <w:tc>
          <w:tcPr>
            <w:tcW w:w="4482" w:type="dxa"/>
            <w:vAlign w:val="center"/>
          </w:tcPr>
          <w:p>
            <w:pPr>
              <w:jc w:val="center"/>
              <w:rPr>
                <w:rFonts w:ascii="仿宋" w:hAnsi="仿宋" w:eastAsia="仿宋"/>
                <w:sz w:val="21"/>
                <w:szCs w:val="21"/>
              </w:rPr>
            </w:pPr>
            <w:r>
              <w:rPr>
                <w:rFonts w:hint="eastAsia" w:ascii="仿宋" w:hAnsi="仿宋" w:eastAsia="仿宋"/>
                <w:sz w:val="21"/>
                <w:szCs w:val="21"/>
              </w:rPr>
              <w:t>一种岩巷用掘锚护探一体机</w:t>
            </w:r>
          </w:p>
        </w:tc>
        <w:tc>
          <w:tcPr>
            <w:tcW w:w="1500" w:type="dxa"/>
            <w:vAlign w:val="center"/>
          </w:tcPr>
          <w:p>
            <w:pPr>
              <w:jc w:val="center"/>
              <w:rPr>
                <w:rFonts w:ascii="仿宋" w:hAnsi="仿宋" w:eastAsia="仿宋"/>
                <w:sz w:val="21"/>
                <w:szCs w:val="21"/>
              </w:rPr>
            </w:pPr>
            <w:r>
              <w:rPr>
                <w:rFonts w:hint="eastAsia" w:ascii="仿宋" w:hAnsi="仿宋" w:eastAsia="仿宋"/>
                <w:sz w:val="21"/>
                <w:szCs w:val="21"/>
              </w:rPr>
              <w:t>实用新型</w:t>
            </w:r>
          </w:p>
        </w:tc>
        <w:tc>
          <w:tcPr>
            <w:tcW w:w="2162" w:type="dxa"/>
            <w:vAlign w:val="center"/>
          </w:tcPr>
          <w:p>
            <w:pPr>
              <w:jc w:val="center"/>
              <w:rPr>
                <w:rFonts w:ascii="仿宋" w:hAnsi="仿宋" w:eastAsia="仿宋"/>
                <w:sz w:val="21"/>
                <w:szCs w:val="21"/>
              </w:rPr>
            </w:pPr>
            <w:r>
              <w:rPr>
                <w:rFonts w:ascii="仿宋" w:hAnsi="仿宋" w:eastAsia="仿宋"/>
                <w:sz w:val="21"/>
                <w:szCs w:val="21"/>
              </w:rPr>
              <w:t>ZL 2021218898645</w:t>
            </w:r>
          </w:p>
        </w:tc>
      </w:tr>
    </w:tbl>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bCs w:val="0"/>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val="0"/>
          <w:sz w:val="32"/>
          <w:szCs w:val="32"/>
        </w:rPr>
        <w:t>主要完成人情况</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sz w:val="32"/>
          <w:szCs w:val="32"/>
        </w:rPr>
      </w:pPr>
      <w:r>
        <w:rPr>
          <w:rFonts w:hint="eastAsia" w:ascii="仿宋" w:hAnsi="仿宋" w:eastAsia="仿宋"/>
          <w:sz w:val="28"/>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color w:val="000000"/>
          <w:kern w:val="2"/>
          <w:sz w:val="32"/>
          <w:szCs w:val="32"/>
          <w:lang w:val="en-US" w:eastAsia="zh-CN" w:bidi="ar-SA"/>
        </w:rPr>
        <w:t>主要完成人共有</w:t>
      </w:r>
      <w:r>
        <w:rPr>
          <w:rFonts w:hint="eastAsia" w:ascii="仿宋_GB2312" w:hAnsi="仿宋_GB2312" w:eastAsia="仿宋_GB2312" w:cs="仿宋_GB2312"/>
          <w:b w:val="0"/>
          <w:bCs w:val="0"/>
          <w:color w:val="000000"/>
          <w:kern w:val="2"/>
          <w:sz w:val="32"/>
          <w:szCs w:val="32"/>
          <w:lang w:val="en" w:eastAsia="zh-CN" w:bidi="ar-SA"/>
        </w:rPr>
        <w:t>８</w:t>
      </w:r>
      <w:r>
        <w:rPr>
          <w:rFonts w:hint="eastAsia" w:ascii="仿宋_GB2312" w:hAnsi="仿宋_GB2312" w:eastAsia="仿宋_GB2312" w:cs="仿宋_GB2312"/>
          <w:b w:val="0"/>
          <w:bCs w:val="0"/>
          <w:color w:val="000000"/>
          <w:kern w:val="2"/>
          <w:sz w:val="32"/>
          <w:szCs w:val="32"/>
          <w:lang w:val="en-US" w:eastAsia="zh-CN" w:bidi="ar-SA"/>
        </w:rPr>
        <w:t>人，分别是</w:t>
      </w:r>
      <w:r>
        <w:rPr>
          <w:rFonts w:hint="eastAsia" w:ascii="仿宋_GB2312" w:hAnsi="仿宋_GB2312" w:eastAsia="仿宋_GB2312" w:cs="仿宋_GB2312"/>
          <w:sz w:val="32"/>
          <w:szCs w:val="32"/>
        </w:rPr>
        <w:t>赵伟、汪成文、张娟、齐丽丽、赵二辉、崔奇峰、宋晨光、赵旭峰。</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b/>
          <w:bCs w:val="0"/>
          <w:sz w:val="32"/>
          <w:szCs w:val="32"/>
        </w:rPr>
      </w:pPr>
      <w:r>
        <w:rPr>
          <w:rFonts w:hint="eastAsia" w:ascii="仿宋" w:hAnsi="仿宋" w:eastAsia="仿宋"/>
          <w:b/>
          <w:sz w:val="28"/>
          <w:lang w:eastAsia="zh-CN"/>
        </w:rPr>
        <w:t>　　</w:t>
      </w:r>
      <w:r>
        <w:rPr>
          <w:rFonts w:hint="eastAsia" w:ascii="方正仿宋_GBK" w:hAnsi="方正仿宋_GBK" w:eastAsia="方正仿宋_GBK" w:cs="方正仿宋_GBK"/>
          <w:b/>
          <w:bCs w:val="0"/>
          <w:sz w:val="32"/>
          <w:szCs w:val="32"/>
        </w:rPr>
        <w:t>主要完成单位及创新推广贡献</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山西天巨重工机械有限公司是由原国有企业晋城汽车配件厂改制组建的一家民营股份制公司。旗下现有煤机分公司、山西天巨美虹钢构有限公司，晋城市天巨物业管理有限公司，山西天巨鼎兴精工制造有限公司、山西天巨恒信科技有限公司五家子（分）公司。公司注册资本9000万。是集煤矿装备制造、精密零部件加工、彩钢复合板、钢结构工程及构件生产加工和施工安装以及商贸经营等业务于一体的综合性企业。公司研发的产品涵盖锚杆机械化支护、煤巷快速掘进及掘进装备智能化等三大领域，主要产品有：煤矿用液压锚杆钻车、掘进钻车、深孔钻车及切顶钻车等钻车系列；煤巷掘锚机组、快速掘进成套设备、锚杆转载机组、悬臂式冲击掘进机等掘进装备系列；岩巷钻装锚机组、移动带式输送机、煤矿用巷道修复机等综合机械化装备。</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太原理工大学，简称“太原理工”，位于山西省太原市，是国家“双一流”建设高校、“211工程”重点建设高校，教育部第一批“卓越工程师教育培养计划”高校，中俄工科大学联盟、CDIO工程教育联盟成员单位，入选国家“111计划”、国家建设高水平大学公派研究生项目、国家大学生创新性实验计划、国家级大学生创新创业训练计划、中国政府奖学金来华留学生接收院校、教育部数据中国“百校工程”试点院校、国家级新工科研究与实践项目、国家创新人才培养示范基地、全国高校实践育人创新创业基地、全国首批深化创新创业教育改革示范高校、教育部“三全育人”综合改革试点高校。</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ascii="仿宋" w:hAnsi="仿宋" w:eastAsia="仿宋"/>
          <w:b/>
          <w:sz w:val="32"/>
          <w:szCs w:val="32"/>
        </w:rPr>
      </w:pPr>
      <w:r>
        <w:rPr>
          <w:rFonts w:hint="eastAsia" w:ascii="仿宋" w:hAnsi="仿宋" w:eastAsia="仿宋"/>
          <w:b/>
          <w:sz w:val="28"/>
          <w:lang w:eastAsia="zh-CN"/>
        </w:rPr>
        <w:t>　　</w:t>
      </w:r>
      <w:r>
        <w:rPr>
          <w:rFonts w:hint="eastAsia" w:ascii="仿宋" w:hAnsi="仿宋" w:eastAsia="仿宋"/>
          <w:b/>
          <w:sz w:val="32"/>
          <w:szCs w:val="32"/>
        </w:rPr>
        <w:t>完成人合作关系说明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人均为该项目的主要完成人。赵伟是第一完成人，是该项目的总负责人及课题组长。汪成文是第二完成人，是该项目的第二负责人及课题副组长。也是目前正在开展合作的“锚杆支护摇臂机构伺服控制技术”项目及产学研合作协议的太原理工大学方的主要负责人。张娟、齐丽丽、赵二辉、崔奇峰、宋晨光、赵旭峰是各课题的主要研究骨干，其中赵二辉是目前正在开展合作的“锚杆支护摇臂机构伺服控制技术”项目及产学研合作协议的太原理工大学方的主要研究骨干。</w:t>
      </w:r>
    </w:p>
    <w:p>
      <w:pPr>
        <w:widowControl/>
        <w:numPr>
          <w:ilvl w:val="0"/>
          <w:numId w:val="0"/>
        </w:numPr>
        <w:jc w:val="left"/>
        <w:rPr>
          <w:rFonts w:hint="eastAsia" w:ascii="方正仿宋_GBK" w:hAnsi="方正仿宋_GBK" w:eastAsia="方正仿宋_GBK" w:cs="方正仿宋_GBK"/>
          <w:b/>
          <w:bCs/>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lang w:eastAsia="zh-CN"/>
        </w:rPr>
        <w:t>（五）</w:t>
      </w:r>
      <w:r>
        <w:rPr>
          <w:rFonts w:hint="eastAsia" w:ascii="方正仿宋_GBK" w:hAnsi="方正仿宋_GBK" w:eastAsia="方正仿宋_GBK" w:cs="方正仿宋_GBK"/>
          <w:b/>
          <w:bCs/>
          <w:sz w:val="32"/>
          <w:szCs w:val="32"/>
        </w:rPr>
        <w:t>项目名称</w:t>
      </w:r>
    </w:p>
    <w:p>
      <w:pPr>
        <w:widowControl/>
        <w:ind w:firstLine="640" w:firstLineChars="200"/>
        <w:rPr>
          <w:rFonts w:ascii="方正仿宋_GB2312" w:hAnsi="方正仿宋_GB2312" w:eastAsia="方正仿宋_GB2312" w:cs="方正仿宋_GB2312"/>
          <w:sz w:val="32"/>
          <w:szCs w:val="32"/>
        </w:rPr>
      </w:pPr>
      <w:r>
        <w:rPr>
          <w:rFonts w:ascii="仿宋_GB2312" w:hAnsi="仿宋_GB2312" w:eastAsia="仿宋_GB2312" w:cs="仿宋_GB2312"/>
          <w:sz w:val="32"/>
          <w:szCs w:val="32"/>
        </w:rPr>
        <w:t>碎软煤层瓦斯区域递进式抽采气动定向钻进成套技术与装备</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rPr>
        <w:t>提名</w:t>
      </w:r>
      <w:r>
        <w:rPr>
          <w:rFonts w:hint="eastAsia" w:ascii="方正仿宋_GBK" w:hAnsi="方正仿宋_GBK" w:eastAsia="方正仿宋_GBK" w:cs="方正仿宋_GBK"/>
          <w:b/>
          <w:bCs/>
          <w:sz w:val="32"/>
          <w:szCs w:val="32"/>
          <w:lang w:eastAsia="zh-CN"/>
        </w:rPr>
        <w:t>单位</w:t>
      </w:r>
    </w:p>
    <w:p>
      <w:pPr>
        <w:keepNext w:val="0"/>
        <w:keepLines w:val="0"/>
        <w:pageBreakBefore w:val="0"/>
        <w:numPr>
          <w:ilvl w:val="0"/>
          <w:numId w:val="0"/>
        </w:numPr>
        <w:kinsoku/>
        <w:wordWrap/>
        <w:overflowPunct/>
        <w:topLinePunct w:val="0"/>
        <w:autoSpaceDE/>
        <w:autoSpaceDN/>
        <w:bidi w:val="0"/>
        <w:adjustRightInd/>
        <w:snapToGrid/>
        <w:spacing w:line="580" w:lineRule="exact"/>
        <w:ind w:left="0" w:leftChars="0"/>
        <w:jc w:val="both"/>
        <w:textAlignment w:val="auto"/>
        <w:rPr>
          <w:rFonts w:hint="eastAsia" w:ascii="方正仿宋_GBK" w:hAnsi="方正仿宋_GBK" w:eastAsia="方正仿宋_GBK" w:cs="方正仿宋_GBK"/>
          <w:bCs/>
          <w:sz w:val="32"/>
          <w:szCs w:val="32"/>
        </w:rPr>
      </w:pPr>
      <w:r>
        <w:rPr>
          <w:rFonts w:hint="eastAsia" w:ascii="方正仿宋_GBK" w:hAnsi="方正仿宋_GBK" w:eastAsia="方正仿宋_GBK" w:cs="方正仿宋_GBK"/>
          <w:bCs/>
          <w:sz w:val="32"/>
          <w:szCs w:val="32"/>
          <w:lang w:eastAsia="zh-CN"/>
        </w:rPr>
        <w:t>　　</w:t>
      </w:r>
      <w:r>
        <w:rPr>
          <w:rFonts w:hint="eastAsia" w:ascii="方正仿宋_GBK" w:hAnsi="方正仿宋_GBK" w:eastAsia="方正仿宋_GBK" w:cs="方正仿宋_GBK"/>
          <w:bCs/>
          <w:sz w:val="32"/>
          <w:szCs w:val="32"/>
        </w:rPr>
        <w:t>晋城市</w:t>
      </w:r>
    </w:p>
    <w:p>
      <w:pPr>
        <w:keepNext w:val="0"/>
        <w:keepLines w:val="0"/>
        <w:pageBreakBefore w:val="0"/>
        <w:widowControl/>
        <w:suppressLineNumbers w:val="0"/>
        <w:kinsoku/>
        <w:wordWrap/>
        <w:overflowPunct/>
        <w:topLinePunct w:val="0"/>
        <w:autoSpaceDE/>
        <w:autoSpaceDN/>
        <w:bidi w:val="0"/>
        <w:adjustRightInd/>
        <w:snapToGrid/>
        <w:spacing w:line="580" w:lineRule="exact"/>
        <w:ind w:left="0"/>
        <w:jc w:val="both"/>
        <w:textAlignment w:val="auto"/>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提名意见</w:t>
      </w:r>
    </w:p>
    <w:p>
      <w:pPr>
        <w:keepNext w:val="0"/>
        <w:keepLines w:val="0"/>
        <w:pageBreakBefore w:val="0"/>
        <w:kinsoku/>
        <w:wordWrap/>
        <w:overflowPunct/>
        <w:topLinePunct w:val="0"/>
        <w:autoSpaceDE/>
        <w:autoSpaceDN/>
        <w:bidi w:val="0"/>
        <w:adjustRightInd/>
        <w:snapToGrid/>
        <w:spacing w:line="580" w:lineRule="exact"/>
        <w:ind w:left="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widowControl/>
        <w:numPr>
          <w:ilvl w:val="0"/>
          <w:numId w:val="0"/>
        </w:numPr>
        <w:jc w:val="left"/>
        <w:rPr>
          <w:rFonts w:ascii="黑体" w:hAnsi="黑体" w:eastAsia="黑体" w:cs="黑体"/>
          <w:sz w:val="32"/>
          <w:szCs w:val="32"/>
        </w:rPr>
      </w:pPr>
      <w:r>
        <w:rPr>
          <w:rFonts w:hint="eastAsia" w:ascii="黑体" w:hAnsi="黑体" w:eastAsia="黑体" w:cs="黑体"/>
          <w:sz w:val="32"/>
          <w:szCs w:val="32"/>
          <w:lang w:eastAsia="zh-CN"/>
        </w:rPr>
        <w:t>　　</w:t>
      </w:r>
      <w:r>
        <w:rPr>
          <w:rFonts w:hint="eastAsia" w:ascii="黑体" w:hAnsi="黑体" w:eastAsia="黑体" w:cs="黑体"/>
          <w:sz w:val="32"/>
          <w:szCs w:val="32"/>
        </w:rPr>
        <w:t>项目简介</w:t>
      </w:r>
    </w:p>
    <w:p>
      <w:pPr>
        <w:widowControl/>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主要技术内容：</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针对碎软煤层顺层长钻孔轨迹控制难、成孔率低、易形成空白带、难以满足本煤层区域递进式瓦斯治理需要等问题，开展了碎软煤层瓦斯区域递进式抽采气动定向钻进成套技术与装备攻关，主要成果如下：</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1.采用理论及数值模拟研究，揭示了碎软煤层气动钻孔煤渣运移规律，掌握了孔深、固气比和粒径等对煤渣运移的影响规律。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形成了未揭露煤巷走向递进式、已揭露煤巷走向递进式和工作面倾向递进式三种瓦斯治理方式，建立了技术体系和形成了完善的工序流程。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制了大导程转子结构、中空转子和中心流量控制阀的气动螺杆钻具。设计了基于压力控制的三级排气辅助排渣流道、整体铣削式外螺旋定子与防逆流截止装置。研制了硬质合金TC轴承，发明了液控油雾润滑装置。</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开发出定向钻孔轨迹预测软件、“复合钻进稳斜-滑动钻进造斜-联合定向”交互式精准轨迹控制方法。开发了Φ108 mm“子弹头”式开闭式导向钻头、防堵塞割缝筛管完孔技术。</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开发了遥控履带除尘车、粉尘隔离除尘智能调节系统。开发了碎软煤层可视化气动定向打捞钻具及处理技术，开发图像识别技术主动识别孔内落鱼位置。开发了井下氮气远程输送技术，以氮气为排渣介质，减少了孔底异常升温、CO超限等风险。</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项目解决现有瓦斯治理模式“回转钻进轨迹不清楚、存在盲区风险”难题，实现定向钻孔轨迹精准可控，掌控钻孔分布范围实现瓦斯治理全覆盖，精准探测煤层地质构造，实现了“钻到位—管到位—抽到位”，开启碎软煤层瓦斯精准治理时代。</w:t>
      </w:r>
    </w:p>
    <w:p>
      <w:pPr>
        <w:widowControl/>
        <w:ind w:firstLine="642"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推广应用情况</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项目成果用于碎软煤层瓦斯抽采钻孔施工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截止2023年6月，已在山西</w:t>
      </w:r>
      <w:r>
        <w:rPr>
          <w:rFonts w:hint="eastAsia" w:ascii="仿宋_GB2312" w:hAnsi="仿宋_GB2312" w:eastAsia="仿宋_GB2312" w:cs="仿宋_GB2312"/>
          <w:sz w:val="32"/>
          <w:szCs w:val="32"/>
        </w:rPr>
        <w:t>王坡煤矿</w:t>
      </w:r>
      <w:r>
        <w:rPr>
          <w:rFonts w:ascii="仿宋_GB2312" w:hAnsi="仿宋_GB2312" w:eastAsia="仿宋_GB2312" w:cs="仿宋_GB2312"/>
          <w:sz w:val="32"/>
          <w:szCs w:val="32"/>
        </w:rPr>
        <w:t>、淮南潘三矿、顾桥矿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淮北桃园矿、朱庄矿等煤矿企业推广应用</w:t>
      </w:r>
      <w:r>
        <w:rPr>
          <w:rFonts w:hint="eastAsia" w:ascii="仿宋_GB2312" w:hAnsi="仿宋_GB2312" w:eastAsia="仿宋_GB2312" w:cs="仿宋_GB2312"/>
          <w:sz w:val="32"/>
          <w:szCs w:val="32"/>
        </w:rPr>
        <w:t>，具体如下：</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山西晋城王坡煤矿对工作面及</w:t>
      </w:r>
      <w:r>
        <w:rPr>
          <w:rFonts w:hint="eastAsia" w:ascii="仿宋_GB2312" w:hAnsi="仿宋_GB2312" w:eastAsia="仿宋_GB2312" w:cs="仿宋_GB2312"/>
          <w:sz w:val="32"/>
          <w:szCs w:val="32"/>
        </w:rPr>
        <w:t>煤巷条带预抽</w:t>
      </w:r>
      <w:r>
        <w:rPr>
          <w:rFonts w:ascii="仿宋_GB2312" w:hAnsi="仿宋_GB2312" w:eastAsia="仿宋_GB2312" w:cs="仿宋_GB2312"/>
          <w:sz w:val="32"/>
          <w:szCs w:val="32"/>
        </w:rPr>
        <w:t>消突，</w:t>
      </w:r>
      <w:r>
        <w:rPr>
          <w:rFonts w:hint="eastAsia" w:ascii="仿宋_GB2312" w:hAnsi="仿宋_GB2312" w:eastAsia="仿宋_GB2312" w:cs="仿宋_GB2312"/>
          <w:sz w:val="32"/>
          <w:szCs w:val="32"/>
        </w:rPr>
        <w:t>平均钻孔深度3</w:t>
      </w:r>
      <w:r>
        <w:rPr>
          <w:rFonts w:ascii="仿宋_GB2312" w:hAnsi="仿宋_GB2312" w:eastAsia="仿宋_GB2312" w:cs="仿宋_GB2312"/>
          <w:sz w:val="32"/>
          <w:szCs w:val="32"/>
        </w:rPr>
        <w:t>00</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最大孔深437 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平均月台效</w:t>
      </w:r>
      <w:r>
        <w:rPr>
          <w:rFonts w:hint="eastAsia" w:ascii="仿宋_GB2312" w:hAnsi="仿宋_GB2312" w:eastAsia="仿宋_GB2312" w:cs="仿宋_GB2312"/>
          <w:sz w:val="32"/>
          <w:szCs w:val="32"/>
        </w:rPr>
        <w:t>超</w:t>
      </w:r>
      <w:r>
        <w:rPr>
          <w:rFonts w:ascii="仿宋_GB2312" w:hAnsi="仿宋_GB2312" w:eastAsia="仿宋_GB2312" w:cs="仿宋_GB2312"/>
          <w:sz w:val="32"/>
          <w:szCs w:val="32"/>
        </w:rPr>
        <w:t>3000 m，最高月台效4011 m，累计</w:t>
      </w:r>
      <w:r>
        <w:rPr>
          <w:rFonts w:hint="eastAsia" w:ascii="仿宋_GB2312" w:hAnsi="仿宋_GB2312" w:eastAsia="仿宋_GB2312" w:cs="仿宋_GB2312"/>
          <w:sz w:val="32"/>
          <w:szCs w:val="32"/>
        </w:rPr>
        <w:t>推广</w:t>
      </w:r>
      <w:r>
        <w:rPr>
          <w:rFonts w:ascii="仿宋_GB2312" w:hAnsi="仿宋_GB2312" w:eastAsia="仿宋_GB2312" w:cs="仿宋_GB2312"/>
          <w:sz w:val="32"/>
          <w:szCs w:val="32"/>
        </w:rPr>
        <w:t>进尺超13.7万m，</w:t>
      </w:r>
      <w:r>
        <w:rPr>
          <w:rFonts w:hint="eastAsia" w:ascii="仿宋_GB2312" w:hAnsi="仿宋_GB2312" w:eastAsia="仿宋_GB2312" w:cs="仿宋_GB2312"/>
          <w:sz w:val="32"/>
          <w:szCs w:val="32"/>
        </w:rPr>
        <w:t>下筛管超6</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万m，保障煤巷安全掘进超1</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m，累计抽采瓦斯超1</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安徽淮南潘三矿</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顾桥矿</w:t>
      </w:r>
      <w:r>
        <w:rPr>
          <w:rFonts w:hint="eastAsia" w:ascii="仿宋_GB2312" w:hAnsi="仿宋_GB2312" w:eastAsia="仿宋_GB2312" w:cs="仿宋_GB2312"/>
          <w:sz w:val="32"/>
          <w:szCs w:val="32"/>
        </w:rPr>
        <w:t>、丁集矿、张集矿采进行施工，潘三矿施工</w:t>
      </w:r>
      <w:r>
        <w:rPr>
          <w:rFonts w:ascii="仿宋_GB2312" w:hAnsi="仿宋_GB2312" w:eastAsia="仿宋_GB2312" w:cs="仿宋_GB2312"/>
          <w:sz w:val="32"/>
          <w:szCs w:val="32"/>
        </w:rPr>
        <w:t>16个钻孔，</w:t>
      </w:r>
      <w:r>
        <w:rPr>
          <w:rFonts w:hint="eastAsia" w:ascii="仿宋_GB2312" w:hAnsi="仿宋_GB2312" w:eastAsia="仿宋_GB2312" w:cs="仿宋_GB2312"/>
          <w:sz w:val="32"/>
          <w:szCs w:val="32"/>
        </w:rPr>
        <w:t>累计</w:t>
      </w:r>
      <w:r>
        <w:rPr>
          <w:rFonts w:ascii="仿宋_GB2312" w:hAnsi="仿宋_GB2312" w:eastAsia="仿宋_GB2312" w:cs="仿宋_GB2312"/>
          <w:sz w:val="32"/>
          <w:szCs w:val="32"/>
        </w:rPr>
        <w:t>进尺</w:t>
      </w:r>
      <w:r>
        <w:rPr>
          <w:rFonts w:hint="eastAsia" w:ascii="仿宋_GB2312" w:hAnsi="仿宋_GB2312" w:eastAsia="仿宋_GB2312" w:cs="仿宋_GB2312"/>
          <w:sz w:val="32"/>
          <w:szCs w:val="32"/>
        </w:rPr>
        <w:t>超4</w:t>
      </w:r>
      <w:r>
        <w:rPr>
          <w:rFonts w:ascii="仿宋_GB2312" w:hAnsi="仿宋_GB2312" w:eastAsia="仿宋_GB2312" w:cs="仿宋_GB2312"/>
          <w:sz w:val="32"/>
          <w:szCs w:val="32"/>
        </w:rPr>
        <w:t>000 m，最大孔深423 m，钻孔见煤率93.1%，钻孔全程下筛管，累计下筛管深度4253 m，</w:t>
      </w:r>
      <w:r>
        <w:rPr>
          <w:rFonts w:hint="eastAsia" w:ascii="仿宋_GB2312" w:hAnsi="仿宋_GB2312" w:eastAsia="仿宋_GB2312" w:cs="仿宋_GB2312"/>
          <w:sz w:val="32"/>
          <w:szCs w:val="32"/>
        </w:rPr>
        <w:t>累计推广进尺超1</w:t>
      </w:r>
      <w:r>
        <w:rPr>
          <w:rFonts w:ascii="仿宋_GB2312" w:hAnsi="仿宋_GB2312" w:eastAsia="仿宋_GB2312" w:cs="仿宋_GB2312"/>
          <w:sz w:val="32"/>
          <w:szCs w:val="32"/>
        </w:rPr>
        <w:t>5.1</w:t>
      </w:r>
      <w:r>
        <w:rPr>
          <w:rFonts w:hint="eastAsia" w:ascii="仿宋_GB2312" w:hAnsi="仿宋_GB2312" w:eastAsia="仿宋_GB2312" w:cs="仿宋_GB2312"/>
          <w:sz w:val="32"/>
          <w:szCs w:val="32"/>
        </w:rPr>
        <w:t>万m，下筛管超1</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万m，节约底抽巷超5</w:t>
      </w:r>
      <w:r>
        <w:rPr>
          <w:rFonts w:ascii="仿宋_GB2312" w:hAnsi="仿宋_GB2312" w:eastAsia="仿宋_GB2312" w:cs="仿宋_GB2312"/>
          <w:sz w:val="32"/>
          <w:szCs w:val="32"/>
        </w:rPr>
        <w:t>000</w:t>
      </w:r>
      <w:r>
        <w:rPr>
          <w:rFonts w:hint="eastAsia" w:ascii="仿宋_GB2312" w:hAnsi="仿宋_GB2312" w:eastAsia="仿宋_GB2312" w:cs="仿宋_GB2312"/>
          <w:sz w:val="32"/>
          <w:szCs w:val="32"/>
        </w:rPr>
        <w:t>m；</w:t>
      </w:r>
      <w:r>
        <w:rPr>
          <w:rFonts w:ascii="仿宋_GB2312" w:hAnsi="仿宋_GB2312" w:eastAsia="仿宋_GB2312" w:cs="仿宋_GB2312"/>
          <w:sz w:val="32"/>
          <w:szCs w:val="32"/>
        </w:rPr>
        <w:t>顾桥矿施工10个钻孔，进尺4220m，最大孔深556 m，创造我国碎软煤层气动定向最大孔深纪录，平均见煤率99.18%，</w:t>
      </w:r>
      <w:r>
        <w:rPr>
          <w:rFonts w:hint="eastAsia" w:ascii="仿宋_GB2312" w:hAnsi="仿宋_GB2312" w:eastAsia="仿宋_GB2312" w:cs="仿宋_GB2312"/>
          <w:sz w:val="32"/>
          <w:szCs w:val="32"/>
        </w:rPr>
        <w:t>推广进尺超6</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万m，节约底抽巷超2</w:t>
      </w:r>
      <w:r>
        <w:rPr>
          <w:rFonts w:ascii="仿宋_GB2312" w:hAnsi="仿宋_GB2312" w:eastAsia="仿宋_GB2312" w:cs="仿宋_GB2312"/>
          <w:sz w:val="32"/>
          <w:szCs w:val="32"/>
        </w:rPr>
        <w:t>300</w:t>
      </w:r>
      <w:r>
        <w:rPr>
          <w:rFonts w:hint="eastAsia" w:ascii="仿宋_GB2312" w:hAnsi="仿宋_GB2312" w:eastAsia="仿宋_GB2312" w:cs="仿宋_GB2312"/>
          <w:sz w:val="32"/>
          <w:szCs w:val="32"/>
        </w:rPr>
        <w:t>m，抽采瓦斯超1</w:t>
      </w:r>
      <w:r>
        <w:rPr>
          <w:rFonts w:ascii="仿宋_GB2312" w:hAnsi="仿宋_GB2312" w:eastAsia="仿宋_GB2312" w:cs="仿宋_GB2312"/>
          <w:sz w:val="32"/>
          <w:szCs w:val="32"/>
        </w:rPr>
        <w:t>700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；丁集矿推广进尺超</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3200</w:t>
      </w:r>
      <w:r>
        <w:rPr>
          <w:rFonts w:hint="eastAsia" w:ascii="仿宋_GB2312" w:hAnsi="仿宋_GB2312" w:eastAsia="仿宋_GB2312" w:cs="仿宋_GB2312"/>
          <w:sz w:val="32"/>
          <w:szCs w:val="32"/>
        </w:rPr>
        <w:t>m，抽采瓦斯超1</w:t>
      </w:r>
      <w:r>
        <w:rPr>
          <w:rFonts w:ascii="仿宋_GB2312" w:hAnsi="仿宋_GB2312" w:eastAsia="仿宋_GB2312" w:cs="仿宋_GB2312"/>
          <w:sz w:val="32"/>
          <w:szCs w:val="32"/>
        </w:rPr>
        <w:t>200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；张集矿推广进尺超9</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3300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2800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在</w:t>
      </w:r>
      <w:r>
        <w:rPr>
          <w:rFonts w:ascii="仿宋_GB2312" w:hAnsi="仿宋_GB2312" w:eastAsia="仿宋_GB2312" w:cs="仿宋_GB2312"/>
          <w:sz w:val="32"/>
          <w:szCs w:val="32"/>
        </w:rPr>
        <w:t>安徽淮北桃园矿</w:t>
      </w:r>
      <w:r>
        <w:rPr>
          <w:rFonts w:hint="eastAsia" w:ascii="仿宋_GB2312" w:hAnsi="仿宋_GB2312" w:eastAsia="仿宋_GB2312" w:cs="仿宋_GB2312"/>
          <w:sz w:val="32"/>
          <w:szCs w:val="32"/>
        </w:rPr>
        <w:t>、朱庄矿、杨柳矿、邹庄矿进行施工</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桃园矿</w:t>
      </w:r>
      <w:r>
        <w:rPr>
          <w:rFonts w:ascii="仿宋_GB2312" w:hAnsi="仿宋_GB2312" w:eastAsia="仿宋_GB2312" w:cs="仿宋_GB2312"/>
          <w:sz w:val="32"/>
          <w:szCs w:val="32"/>
        </w:rPr>
        <w:t>完成200m以上钻孔6个，总进尺1802 m，指标孔平均煤层钻遇率90%以上，</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2100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350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；朱庄矿</w:t>
      </w:r>
      <w:r>
        <w:rPr>
          <w:rFonts w:hint="eastAsia" w:ascii="仿宋_GB2312" w:hAnsi="仿宋_GB2312" w:eastAsia="仿宋_GB2312" w:cs="仿宋_GB2312"/>
          <w:sz w:val="32"/>
          <w:szCs w:val="32"/>
        </w:rPr>
        <w:t>施工</w:t>
      </w:r>
      <w:r>
        <w:rPr>
          <w:rFonts w:ascii="仿宋_GB2312" w:hAnsi="仿宋_GB2312" w:eastAsia="仿宋_GB2312" w:cs="仿宋_GB2312"/>
          <w:sz w:val="32"/>
          <w:szCs w:val="32"/>
        </w:rPr>
        <w:t>300m以上钻孔7个，施工最大孔深372m，</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1000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320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；杨柳矿采用底板梳状分支孔</w:t>
      </w:r>
      <w:r>
        <w:rPr>
          <w:rFonts w:hint="eastAsia" w:ascii="仿宋_GB2312" w:hAnsi="仿宋_GB2312" w:eastAsia="仿宋_GB2312" w:cs="仿宋_GB2312"/>
          <w:sz w:val="32"/>
          <w:szCs w:val="32"/>
        </w:rPr>
        <w:t>工艺</w:t>
      </w:r>
      <w:r>
        <w:rPr>
          <w:rFonts w:ascii="仿宋_GB2312" w:hAnsi="仿宋_GB2312" w:eastAsia="仿宋_GB2312" w:cs="仿宋_GB2312"/>
          <w:sz w:val="32"/>
          <w:szCs w:val="32"/>
        </w:rPr>
        <w:t>，煤孔段总进尺2235m，且分支煤孔段搭接，7个月累计</w:t>
      </w:r>
      <w:r>
        <w:rPr>
          <w:rFonts w:hint="eastAsia" w:ascii="仿宋_GB2312" w:hAnsi="仿宋_GB2312" w:eastAsia="仿宋_GB2312" w:cs="仿宋_GB2312"/>
          <w:sz w:val="32"/>
          <w:szCs w:val="32"/>
        </w:rPr>
        <w:t>抽采</w:t>
      </w:r>
      <w:r>
        <w:rPr>
          <w:rFonts w:ascii="仿宋_GB2312" w:hAnsi="仿宋_GB2312" w:eastAsia="仿宋_GB2312" w:cs="仿宋_GB2312"/>
          <w:sz w:val="32"/>
          <w:szCs w:val="32"/>
        </w:rPr>
        <w:t>瓦斯31.05万m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，瓦斯预抽率约为65.37%，</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2400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420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邹庄</w:t>
      </w:r>
      <w:r>
        <w:rPr>
          <w:rFonts w:ascii="仿宋_GB2312" w:hAnsi="仿宋_GB2312" w:eastAsia="仿宋_GB2312" w:cs="仿宋_GB2312"/>
          <w:sz w:val="32"/>
          <w:szCs w:val="32"/>
        </w:rPr>
        <w:t>矿</w:t>
      </w:r>
      <w:r>
        <w:rPr>
          <w:rFonts w:hint="eastAsia" w:ascii="仿宋_GB2312" w:hAnsi="仿宋_GB2312" w:eastAsia="仿宋_GB2312" w:cs="仿宋_GB2312"/>
          <w:sz w:val="32"/>
          <w:szCs w:val="32"/>
        </w:rPr>
        <w:t>试验</w:t>
      </w:r>
      <w:r>
        <w:rPr>
          <w:rFonts w:ascii="仿宋_GB2312" w:hAnsi="仿宋_GB2312" w:eastAsia="仿宋_GB2312" w:cs="仿宋_GB2312"/>
          <w:sz w:val="32"/>
          <w:szCs w:val="32"/>
        </w:rPr>
        <w:t>完成4个钻孔，总进尺1590 m，最大孔深516 m</w:t>
      </w:r>
      <w:r>
        <w:rPr>
          <w:rFonts w:hint="eastAsia" w:ascii="仿宋_GB2312" w:hAnsi="仿宋_GB2312" w:eastAsia="仿宋_GB2312" w:cs="仿宋_GB2312"/>
          <w:sz w:val="32"/>
          <w:szCs w:val="32"/>
        </w:rPr>
        <w:t>，推广进尺超</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万m，节约底抽巷超</w:t>
      </w:r>
      <w:r>
        <w:rPr>
          <w:rFonts w:ascii="仿宋_GB2312" w:hAnsi="仿宋_GB2312" w:eastAsia="仿宋_GB2312" w:cs="仿宋_GB2312"/>
          <w:sz w:val="32"/>
          <w:szCs w:val="32"/>
        </w:rPr>
        <w:t>1800</w:t>
      </w:r>
      <w:r>
        <w:rPr>
          <w:rFonts w:hint="eastAsia" w:ascii="仿宋_GB2312" w:hAnsi="仿宋_GB2312" w:eastAsia="仿宋_GB2312" w:cs="仿宋_GB2312"/>
          <w:sz w:val="32"/>
          <w:szCs w:val="32"/>
        </w:rPr>
        <w:t>m，抽采瓦斯超</w:t>
      </w:r>
      <w:r>
        <w:rPr>
          <w:rFonts w:ascii="仿宋_GB2312" w:hAnsi="仿宋_GB2312" w:eastAsia="仿宋_GB2312" w:cs="仿宋_GB2312"/>
          <w:sz w:val="32"/>
          <w:szCs w:val="32"/>
        </w:rPr>
        <w:t>620</w:t>
      </w:r>
      <w:r>
        <w:rPr>
          <w:rFonts w:hint="eastAsia" w:ascii="仿宋_GB2312" w:hAnsi="仿宋_GB2312" w:eastAsia="仿宋_GB2312" w:cs="仿宋_GB2312"/>
          <w:sz w:val="32"/>
          <w:szCs w:val="32"/>
        </w:rPr>
        <w:t>万m</w:t>
      </w:r>
      <w:r>
        <w:rPr>
          <w:rFonts w:ascii="仿宋_GB2312" w:hAnsi="仿宋_GB2312" w:eastAsia="仿宋_GB2312" w:cs="仿宋_GB2312"/>
          <w:sz w:val="32"/>
          <w:szCs w:val="32"/>
          <w:vertAlign w:val="superscript"/>
        </w:rPr>
        <w:t>3</w:t>
      </w:r>
      <w:r>
        <w:rPr>
          <w:rFonts w:ascii="仿宋_GB2312" w:hAnsi="仿宋_GB2312" w:eastAsia="仿宋_GB2312" w:cs="仿宋_GB2312"/>
          <w:sz w:val="32"/>
          <w:szCs w:val="32"/>
        </w:rPr>
        <w:t>。</w:t>
      </w:r>
    </w:p>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已在</w:t>
      </w:r>
      <w:r>
        <w:rPr>
          <w:rFonts w:hint="eastAsia" w:ascii="仿宋_GB2312" w:hAnsi="仿宋_GB2312" w:eastAsia="仿宋_GB2312" w:cs="仿宋_GB2312"/>
          <w:sz w:val="32"/>
          <w:szCs w:val="32"/>
        </w:rPr>
        <w:t>多个</w:t>
      </w:r>
      <w:r>
        <w:rPr>
          <w:rFonts w:ascii="仿宋_GB2312" w:hAnsi="仿宋_GB2312" w:eastAsia="仿宋_GB2312" w:cs="仿宋_GB2312"/>
          <w:sz w:val="32"/>
          <w:szCs w:val="32"/>
        </w:rPr>
        <w:t>矿区推广应用，</w:t>
      </w:r>
      <w:r>
        <w:rPr>
          <w:rFonts w:hint="eastAsia" w:ascii="仿宋_GB2312" w:hAnsi="仿宋_GB2312" w:eastAsia="仿宋_GB2312" w:cs="仿宋_GB2312"/>
          <w:sz w:val="32"/>
          <w:szCs w:val="32"/>
        </w:rPr>
        <w:t>已</w:t>
      </w:r>
      <w:r>
        <w:rPr>
          <w:rFonts w:ascii="仿宋_GB2312" w:hAnsi="仿宋_GB2312" w:eastAsia="仿宋_GB2312" w:cs="仿宋_GB2312"/>
          <w:sz w:val="32"/>
          <w:szCs w:val="32"/>
        </w:rPr>
        <w:t>累计销售钻进装备98台，</w:t>
      </w:r>
      <w:r>
        <w:rPr>
          <w:rFonts w:hint="eastAsia" w:ascii="仿宋_GB2312" w:hAnsi="仿宋_GB2312" w:eastAsia="仿宋_GB2312" w:cs="仿宋_GB2312"/>
          <w:sz w:val="32"/>
          <w:szCs w:val="32"/>
        </w:rPr>
        <w:t>近三年累计销售装备80台套，钻孔进尺61.23万m，节省岩巷工程量2.28万m，瓦斯抽采纯量1.44亿m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，直接经济效益21.51亿元。</w:t>
      </w:r>
    </w:p>
    <w:p>
      <w:pPr>
        <w:widowControl/>
        <w:ind w:firstLine="640" w:firstLineChars="200"/>
        <w:rPr>
          <w:rFonts w:ascii="仿宋_GB2312" w:hAnsi="仿宋_GB2312" w:eastAsia="仿宋_GB2312" w:cs="仿宋_GB2312"/>
          <w:b w:val="0"/>
          <w:bCs w:val="0"/>
          <w:sz w:val="32"/>
          <w:szCs w:val="32"/>
        </w:rPr>
      </w:pPr>
      <w:bookmarkStart w:id="0" w:name="_Hlk147935237"/>
      <w:r>
        <w:rPr>
          <w:rFonts w:hint="eastAsia" w:ascii="仿宋_GB2312" w:hAnsi="仿宋_GB2312" w:eastAsia="仿宋_GB2312" w:cs="仿宋_GB2312"/>
          <w:b w:val="0"/>
          <w:bCs w:val="0"/>
          <w:sz w:val="32"/>
          <w:szCs w:val="32"/>
        </w:rPr>
        <w:t>社会效益：</w:t>
      </w:r>
    </w:p>
    <w:bookmarkEnd w:id="0"/>
    <w:p>
      <w:pPr>
        <w:widowControl/>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项目成果解决了碎软煤层难以长距离定向成孔的技术难题</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实现了碎软煤层瓦斯精准安全高效治理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实现了碎软煤层瓦斯区域递进式高效治理，缓解了煤矿“掘、抽、采”时空衔接矛盾</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项目成果实现了碎软煤层瓦斯超前、区域、精准抽采治理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促进</w:t>
      </w:r>
      <w:r>
        <w:rPr>
          <w:rFonts w:hint="eastAsia" w:ascii="仿宋_GB2312" w:hAnsi="仿宋_GB2312" w:eastAsia="仿宋_GB2312" w:cs="仿宋_GB2312"/>
          <w:sz w:val="32"/>
          <w:szCs w:val="32"/>
        </w:rPr>
        <w:t>了</w:t>
      </w:r>
      <w:r>
        <w:rPr>
          <w:rFonts w:ascii="仿宋_GB2312" w:hAnsi="仿宋_GB2312" w:eastAsia="仿宋_GB2312" w:cs="仿宋_GB2312"/>
          <w:sz w:val="32"/>
          <w:szCs w:val="32"/>
        </w:rPr>
        <w:t>煤矿井下安全生产</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保障</w:t>
      </w:r>
      <w:r>
        <w:rPr>
          <w:rFonts w:hint="eastAsia" w:ascii="仿宋_GB2312" w:hAnsi="仿宋_GB2312" w:eastAsia="仿宋_GB2312" w:cs="仿宋_GB2312"/>
          <w:sz w:val="32"/>
          <w:szCs w:val="32"/>
        </w:rPr>
        <w:t>了</w:t>
      </w:r>
      <w:r>
        <w:rPr>
          <w:rFonts w:ascii="仿宋_GB2312" w:hAnsi="仿宋_GB2312" w:eastAsia="仿宋_GB2312" w:cs="仿宋_GB2312"/>
          <w:sz w:val="32"/>
          <w:szCs w:val="32"/>
        </w:rPr>
        <w:t>煤矿从业人员人身安全，</w:t>
      </w:r>
      <w:r>
        <w:rPr>
          <w:rFonts w:hint="eastAsia" w:ascii="仿宋_GB2312" w:hAnsi="仿宋_GB2312" w:eastAsia="仿宋_GB2312" w:cs="仿宋_GB2312"/>
          <w:sz w:val="32"/>
          <w:szCs w:val="32"/>
        </w:rPr>
        <w:t>开启了碎软煤层瓦斯精准治理新时代，引领了煤炭行业瓦斯治理技术进步，对</w:t>
      </w:r>
      <w:r>
        <w:rPr>
          <w:rFonts w:ascii="仿宋_GB2312" w:hAnsi="仿宋_GB2312" w:eastAsia="仿宋_GB2312" w:cs="仿宋_GB2312"/>
          <w:sz w:val="32"/>
          <w:szCs w:val="32"/>
        </w:rPr>
        <w:t>煤炭企业安全高效可持续发展具有重要现实意义。</w:t>
      </w:r>
    </w:p>
    <w:p>
      <w:pPr>
        <w:widowControl/>
        <w:numPr>
          <w:ilvl w:val="0"/>
          <w:numId w:val="0"/>
        </w:numPr>
        <w:jc w:val="left"/>
        <w:rPr>
          <w:rFonts w:ascii="黑体" w:hAnsi="黑体" w:eastAsia="黑体" w:cs="黑体"/>
          <w:sz w:val="32"/>
          <w:szCs w:val="32"/>
        </w:rPr>
      </w:pPr>
      <w:r>
        <w:rPr>
          <w:rFonts w:hint="eastAsia" w:ascii="黑体" w:hAnsi="黑体" w:eastAsia="黑体" w:cs="黑体"/>
          <w:sz w:val="32"/>
          <w:szCs w:val="32"/>
          <w:lang w:eastAsia="zh-CN"/>
        </w:rPr>
        <w:t>　　</w:t>
      </w:r>
      <w:r>
        <w:rPr>
          <w:rFonts w:hint="eastAsia" w:ascii="方正仿宋_GBK" w:hAnsi="方正仿宋_GBK" w:eastAsia="方正仿宋_GBK" w:cs="方正仿宋_GBK"/>
          <w:b/>
          <w:bCs/>
          <w:sz w:val="32"/>
          <w:szCs w:val="32"/>
          <w:lang w:eastAsia="zh-CN"/>
        </w:rPr>
        <w:t>主要</w:t>
      </w:r>
      <w:r>
        <w:rPr>
          <w:rFonts w:hint="eastAsia" w:ascii="方正仿宋_GBK" w:hAnsi="方正仿宋_GBK" w:eastAsia="方正仿宋_GBK" w:cs="方正仿宋_GBK"/>
          <w:b/>
          <w:bCs/>
          <w:sz w:val="32"/>
          <w:szCs w:val="32"/>
        </w:rPr>
        <w:t>知识产权证明目录</w:t>
      </w:r>
    </w:p>
    <w:tbl>
      <w:tblPr>
        <w:tblStyle w:val="8"/>
        <w:tblW w:w="9799"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108" w:type="dxa"/>
          <w:bottom w:w="0" w:type="dxa"/>
          <w:right w:w="108" w:type="dxa"/>
        </w:tblCellMar>
      </w:tblPr>
      <w:tblGrid>
        <w:gridCol w:w="3818"/>
        <w:gridCol w:w="1512"/>
        <w:gridCol w:w="1225"/>
        <w:gridCol w:w="1575"/>
        <w:gridCol w:w="166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授权项目名称</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知识产权类别</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国（区）别</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申 请 号</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授 权 号</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3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流体输送增压器及喷浆增压管路</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202110418060.5</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ZL202110418060.5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8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钻孔防喷除尘装置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202121461995.3</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ZL202121461995.3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44"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定向钻孔防喷滤渣系统</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202023248662.0</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ZL202023248662.0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69"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一种多通道瓦斯抽放管、抽放装置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202122174229.5</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ZL202122174229.5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82"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一种气源动力自动解锁的风门机械闭锁装置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202122923837.1</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ZL202122923837.1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20"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一种矿用风门的气动自动卸压装置</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实用新型专利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202122923764.6</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ZL202122923764.6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一种煤矿井下气动定向钻进润滑装置及气动螺杆钻具</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202010378038.8</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ZL202010378038.8</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70"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一种双壁液驱孔底发泡泡沫排渣螺杆定向钻具</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202010560750.X</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ZL202010560750.X</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95"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煤矿井下钻进用多级排渣空气螺杆马达</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201710559662.6</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ZL201710559662.6</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煤矿井下碎软煤层顺层钻孔旋喷式复合钻具及排渣方法</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202010626232.3</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ZL202010626232.3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457" w:hRule="atLeast"/>
          <w:jc w:val="center"/>
        </w:trPr>
        <w:tc>
          <w:tcPr>
            <w:tcW w:w="3818" w:type="dxa"/>
            <w:tcBorders>
              <w:top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煤矿井下定向钻孔轨迹控制方法</w:t>
            </w:r>
          </w:p>
        </w:tc>
        <w:tc>
          <w:tcPr>
            <w:tcW w:w="1512"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201610285963.X</w:t>
            </w:r>
          </w:p>
        </w:tc>
        <w:tc>
          <w:tcPr>
            <w:tcW w:w="1669" w:type="dxa"/>
            <w:tcBorders>
              <w:top w:val="single" w:color="000000" w:sz="4" w:space="0"/>
              <w:left w:val="single" w:color="000000" w:sz="4" w:space="0"/>
              <w:bottom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ZL201610285963.X</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碎软煤层气动定向钻进用防喷及粉尘钻渣处理系统</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202310423492.4</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煤矿井下套管内视频成像对接掉钻事故头打捞系统及方法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202111578544.2</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ZL 202111578544.2</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煤矿井下气动定向钻进自动除尘防喷系统及</w:t>
            </w:r>
          </w:p>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202310423517.0</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567" w:hRule="atLeast"/>
          <w:jc w:val="center"/>
        </w:trPr>
        <w:tc>
          <w:tcPr>
            <w:tcW w:w="3818" w:type="dxa"/>
            <w:tcBorders>
              <w:top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碎软煤层穿地质异常体套管护孔气液定向成孔系统及方法</w:t>
            </w:r>
          </w:p>
        </w:tc>
        <w:tc>
          <w:tcPr>
            <w:tcW w:w="1512"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发明专利</w:t>
            </w:r>
          </w:p>
        </w:tc>
        <w:tc>
          <w:tcPr>
            <w:tcW w:w="122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中国</w:t>
            </w:r>
          </w:p>
        </w:tc>
        <w:tc>
          <w:tcPr>
            <w:tcW w:w="1575" w:type="dxa"/>
            <w:tcBorders>
              <w:top w:val="single" w:color="000000" w:sz="4" w:space="0"/>
              <w:left w:val="single" w:color="000000" w:sz="4" w:space="0"/>
              <w:right w:val="single" w:color="000000" w:sz="4" w:space="0"/>
            </w:tcBorders>
            <w:vAlign w:val="center"/>
          </w:tcPr>
          <w:p>
            <w:pPr>
              <w:widowControl/>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202111578912.3</w:t>
            </w:r>
          </w:p>
        </w:tc>
        <w:tc>
          <w:tcPr>
            <w:tcW w:w="1669" w:type="dxa"/>
            <w:tcBorders>
              <w:top w:val="single" w:color="000000" w:sz="4" w:space="0"/>
              <w:left w:val="single" w:color="000000" w:sz="4" w:space="0"/>
            </w:tcBorders>
            <w:vAlign w:val="center"/>
          </w:tcPr>
          <w:p>
            <w:pPr>
              <w:widowControl/>
              <w:jc w:val="center"/>
              <w:rPr>
                <w:rFonts w:hint="eastAsia" w:asciiTheme="minorEastAsia" w:hAnsiTheme="minorEastAsia" w:eastAsiaTheme="minorEastAsia" w:cstheme="minorEastAsia"/>
                <w:sz w:val="18"/>
                <w:szCs w:val="18"/>
              </w:rPr>
            </w:pPr>
          </w:p>
        </w:tc>
      </w:tr>
    </w:tbl>
    <w:p>
      <w:pPr>
        <w:widowControl/>
        <w:numPr>
          <w:ilvl w:val="0"/>
          <w:numId w:val="0"/>
        </w:numPr>
        <w:jc w:val="left"/>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主要完成人情况</w:t>
      </w:r>
    </w:p>
    <w:p>
      <w:pPr>
        <w:pStyle w:val="2"/>
        <w:rPr>
          <w:rFonts w:hint="eastAsia" w:ascii="仿宋_GB2312" w:hAnsi="仿宋_GB2312" w:eastAsia="仿宋_GB2312" w:cs="仿宋_GB2312"/>
          <w:kern w:val="2"/>
          <w:sz w:val="32"/>
          <w:szCs w:val="32"/>
          <w:lang w:val="en-US" w:eastAsia="zh-CN" w:bidi="ar-SA"/>
        </w:rPr>
      </w:pPr>
      <w:r>
        <w:rPr>
          <w:rFonts w:hint="eastAsia" w:ascii="方正仿宋_GBK" w:hAnsi="方正仿宋_GBK" w:eastAsia="方正仿宋_GBK" w:cs="方正仿宋_GBK"/>
          <w:b w:val="0"/>
          <w:bCs w:val="0"/>
          <w:color w:val="000000"/>
          <w:kern w:val="2"/>
          <w:sz w:val="32"/>
          <w:szCs w:val="32"/>
          <w:lang w:val="en-US" w:eastAsia="zh-CN" w:bidi="ar-SA"/>
        </w:rPr>
        <w:t>　　主要完成人共有</w:t>
      </w:r>
      <w:r>
        <w:rPr>
          <w:rFonts w:hint="eastAsia" w:ascii="方正仿宋_GBK" w:hAnsi="方正仿宋_GBK" w:eastAsia="方正仿宋_GBK" w:cs="方正仿宋_GBK"/>
          <w:b w:val="0"/>
          <w:bCs w:val="0"/>
          <w:color w:val="000000"/>
          <w:kern w:val="2"/>
          <w:sz w:val="32"/>
          <w:szCs w:val="32"/>
          <w:lang w:val="en" w:eastAsia="zh-CN" w:bidi="ar-SA"/>
        </w:rPr>
        <w:t>８</w:t>
      </w:r>
      <w:r>
        <w:rPr>
          <w:rFonts w:hint="eastAsia" w:ascii="方正仿宋_GBK" w:hAnsi="方正仿宋_GBK" w:eastAsia="方正仿宋_GBK" w:cs="方正仿宋_GBK"/>
          <w:b w:val="0"/>
          <w:bCs w:val="0"/>
          <w:color w:val="000000"/>
          <w:kern w:val="2"/>
          <w:sz w:val="32"/>
          <w:szCs w:val="32"/>
          <w:lang w:val="en-US" w:eastAsia="zh-CN" w:bidi="ar-SA"/>
        </w:rPr>
        <w:t>人，分别是</w:t>
      </w:r>
      <w:r>
        <w:rPr>
          <w:rFonts w:hint="eastAsia" w:ascii="仿宋_GB2312" w:hAnsi="仿宋_GB2312" w:eastAsia="仿宋_GB2312" w:cs="仿宋_GB2312"/>
          <w:kern w:val="2"/>
          <w:sz w:val="32"/>
          <w:szCs w:val="32"/>
          <w:lang w:val="en-US" w:eastAsia="zh-CN" w:bidi="ar-SA"/>
        </w:rPr>
        <w:t>付天光、陈建、张杰、孙永新、张宏杰、王常委、陈天柱、马强</w:t>
      </w:r>
      <w:r>
        <w:rPr>
          <w:rFonts w:ascii="仿宋_GB2312" w:hAnsi="仿宋_GB2312" w:eastAsia="仿宋_GB2312" w:cs="仿宋_GB2312"/>
          <w:sz w:val="32"/>
          <w:szCs w:val="32"/>
        </w:rPr>
        <w:t>。</w:t>
      </w:r>
    </w:p>
    <w:p>
      <w:pPr>
        <w:widowControl/>
        <w:numPr>
          <w:ilvl w:val="0"/>
          <w:numId w:val="0"/>
        </w:numPr>
        <w:jc w:val="left"/>
        <w:rPr>
          <w:rFonts w:hint="eastAsia" w:ascii="方正仿宋_GBK" w:hAnsi="方正仿宋_GBK" w:eastAsia="方正仿宋_GBK" w:cs="方正仿宋_GBK"/>
          <w:b/>
          <w:bCs/>
          <w:sz w:val="32"/>
          <w:szCs w:val="32"/>
          <w:lang w:eastAsia="zh-CN"/>
        </w:rPr>
      </w:pPr>
      <w:r>
        <w:rPr>
          <w:rFonts w:hint="eastAsia" w:ascii="方正仿宋_GBK" w:hAnsi="方正仿宋_GBK" w:eastAsia="方正仿宋_GBK" w:cs="方正仿宋_GBK"/>
          <w:b/>
          <w:bCs/>
          <w:sz w:val="32"/>
          <w:szCs w:val="32"/>
          <w:lang w:eastAsia="zh-CN"/>
        </w:rPr>
        <w:t>　　主要完成单位及创新推广贡献</w:t>
      </w:r>
    </w:p>
    <w:p>
      <w:pPr>
        <w:widowControl/>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山西天地王坡煤业有限公司：</w:t>
      </w:r>
    </w:p>
    <w:p>
      <w:pPr>
        <w:widowControl/>
        <w:ind w:firstLine="640" w:firstLineChars="200"/>
        <w:rPr>
          <w:rFonts w:ascii="黑体" w:hAnsi="黑体" w:eastAsia="黑体" w:cs="黑体"/>
          <w:sz w:val="32"/>
          <w:szCs w:val="32"/>
        </w:rPr>
      </w:pPr>
      <w:r>
        <w:rPr>
          <w:rFonts w:hint="eastAsia" w:ascii="仿宋_GB2312" w:hAnsi="仿宋_GB2312" w:eastAsia="仿宋_GB2312" w:cs="仿宋_GB2312"/>
          <w:sz w:val="32"/>
          <w:szCs w:val="32"/>
        </w:rPr>
        <w:t>作为本项目现场研究的牵头单位，提出本项目的现场研究课题并负责申报立项、组织项目研究总体方案构思、进行整个项目研究过程中的协调工作，组织实施各项子计划，结合现场实际，负责督促、检查论证和结题汇报，将研究成果及时反馈、应用于生产实践中去，验证研究成果的适用性和技术经济效果。项目研究应用期间，山西天地王坡煤业有限责任公司组织实施了碎软煤层的条带预抽与区段（工作面）预抽等，成功实现了碎软煤层高效成孔，累计效益近亿元，取得了显著的技术经济效益、安全效益和良好的社会效益。</w:t>
      </w:r>
    </w:p>
    <w:p>
      <w:pPr>
        <w:widowControl/>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中煤科工西安研究院（集团）有限公司：</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煤科工西安研究院（集团）有限公司是本项目的合作研究单位。牵头开展了碎软煤层气动螺杆钻具、油雾润滑装置的研制，发明了适用于煤矿井下的气动螺杆钻具及油雾润滑装置，开展了碎软煤层气动定向钻进成孔工艺、筛管完孔工艺、孔口除尘技术、孔内事故处理技术等关键技术的研究，形成了适用于碎软煤层气动定向钻进高效成孔钻具、孔内事故打捞钻具、全孔段下筛管钻具、分支孔下“飞管”钻具，研制了多功能孔口除尘泵车和优化设计了钻场粉尘隔离除尘系统，形成了完整的气动定向钻进技术体系及配套装备。提出了碎软煤层瓦斯区域递进式高效治理模式，研究形成了未揭露煤巷走向递进式、已揭露煤巷走向递进式和工作面倾向递进式三种瓦斯治理方式，实现了碎软煤层瓦斯高效治理。负责项目成果的总结、查新与研究报告的编写等。</w:t>
      </w:r>
    </w:p>
    <w:p>
      <w:pPr>
        <w:widowControl/>
        <w:rPr>
          <w:rFonts w:ascii="仿宋_GB2312" w:hAnsi="仿宋_GB2312" w:eastAsia="仿宋_GB2312" w:cs="仿宋_GB2312"/>
          <w:b w:val="0"/>
          <w:bCs w:val="0"/>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val="0"/>
          <w:bCs w:val="0"/>
          <w:sz w:val="32"/>
          <w:szCs w:val="32"/>
        </w:rPr>
        <w:t>淮南矿业（集团）有限责任公司：</w:t>
      </w:r>
    </w:p>
    <w:p>
      <w:pPr>
        <w:widowControl/>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淮南矿业（集团）有限责任公司是本项目的合作研究单位，参与项目总体实施方案、研究方法和技术思路制定及具体实施方案的编制；参与开展了碎软煤层气动定向钻进成孔工艺、筛管完孔工艺、孔口除尘技术、高压氮气输送技术的研究，创新开发了底板梳状定向分支孔“飞管”护孔技术，解决了分支孔分段下筛管技术难题；负责项目技术在潘三矿、张集矿、丁集矿和顾桥矿的现场试验及推广应用，在潘三矿首次采用了碎软煤层气动定向钻进技术对工作面及临近煤巷“一孔两消”区域递进式瓦斯治理，实现了碎软煤层瓦斯高效抽采，在顾桥煤矿创造了碎软煤层</w:t>
      </w:r>
      <w:r>
        <w:rPr>
          <w:rFonts w:ascii="仿宋_GB2312" w:hAnsi="仿宋_GB2312" w:eastAsia="仿宋_GB2312" w:cs="仿宋_GB2312"/>
          <w:sz w:val="32"/>
          <w:szCs w:val="32"/>
        </w:rPr>
        <w:t>556m孔深</w:t>
      </w:r>
      <w:r>
        <w:rPr>
          <w:rFonts w:hint="eastAsia" w:ascii="仿宋_GB2312" w:hAnsi="仿宋_GB2312" w:eastAsia="仿宋_GB2312" w:cs="仿宋_GB2312"/>
          <w:sz w:val="32"/>
          <w:szCs w:val="32"/>
        </w:rPr>
        <w:t>记录；负责部分专利、论文的撰写及研究报告、鉴定材料编制，协助进行成果查新、鉴定工作，将研究成果应用于生产实践中去，验证研究成果的适用性和技术经济效果。</w:t>
      </w:r>
    </w:p>
    <w:p>
      <w:pPr>
        <w:pStyle w:val="2"/>
        <w:rPr>
          <w:rFonts w:hint="eastAsia" w:ascii="仿宋_GB2312" w:hAnsi="仿宋_GB2312" w:eastAsia="仿宋_GB2312" w:cs="仿宋_GB2312"/>
          <w:b/>
          <w:bCs/>
          <w:color w:val="C00000"/>
          <w:kern w:val="2"/>
          <w:sz w:val="32"/>
          <w:szCs w:val="32"/>
          <w:lang w:val="en-US" w:eastAsia="zh-CN" w:bidi="ar-SA"/>
        </w:rPr>
      </w:pPr>
      <w:r>
        <w:rPr>
          <w:rFonts w:hint="eastAsia" w:ascii="仿宋_GB2312" w:hAnsi="仿宋_GB2312" w:eastAsia="仿宋_GB2312" w:cs="仿宋_GB2312"/>
          <w:kern w:val="2"/>
          <w:sz w:val="32"/>
          <w:szCs w:val="32"/>
          <w:lang w:val="en-US" w:eastAsia="zh-CN" w:bidi="ar-SA"/>
        </w:rPr>
        <w:t>　　</w:t>
      </w:r>
      <w:r>
        <w:rPr>
          <w:rFonts w:hint="eastAsia" w:ascii="仿宋_GB2312" w:hAnsi="仿宋_GB2312" w:eastAsia="仿宋_GB2312" w:cs="仿宋_GB2312"/>
          <w:b/>
          <w:bCs/>
          <w:color w:val="auto"/>
          <w:kern w:val="2"/>
          <w:sz w:val="32"/>
          <w:szCs w:val="32"/>
          <w:lang w:val="en-US" w:eastAsia="zh-CN" w:bidi="ar-SA"/>
        </w:rPr>
        <w:t>完成人合作关系说明</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left"/>
        <w:textAlignment w:val="auto"/>
        <w:rPr>
          <w:rFonts w:hint="eastAsia"/>
          <w:lang w:val="en-US" w:eastAsia="zh-CN"/>
        </w:rPr>
      </w:pPr>
      <w:r>
        <w:rPr>
          <w:rFonts w:hint="eastAsia" w:ascii="仿宋_GB2312" w:hAnsi="仿宋_GB2312" w:eastAsia="仿宋_GB2312" w:cs="仿宋_GB2312"/>
          <w:b w:val="0"/>
          <w:bCs w:val="0"/>
          <w:color w:val="000000"/>
          <w:kern w:val="0"/>
          <w:sz w:val="32"/>
          <w:szCs w:val="32"/>
          <w:lang w:val="en-US" w:eastAsia="zh-CN" w:bidi="ar"/>
        </w:rPr>
        <w:t xml:space="preserve">付天光为项目现场总负责人，负责项目现场总体方案制定、关键技术研究与实施，组织现场技术推广应用。张杰为项目主要完成人，负责协助项目总负责人项目总体方案制定、关键技术研究与组织实施陈建为项目主要完成人，负责协助项目总负责人项目总体方案制定、关键技术研究与组织实施。 孙永新参与项目总体方案制定、关键技术研究与具体实施，参与碎软煤层气动定向高效成孔与护孔技术研究，参与碎软煤层气动定向成孔与护孔技术、除尘技术、氮气远距离输送技术研究，负责组织技术在王坡煤矿现场试验及推广应用。 张宏杰参与项目总体方案制定和实施方案编制，参与项目气动定向成孔与护孔技术、除尘技术、氮气远距离输送技术研究，负责组织技术在王坡煤矿现场试验及推广应用。王常委参与项目实施方案编制，参与项目关键技术研究和技术在王坡煤矿现场试验及推广应用，参与项目科研报告和技术成果等材料的编写。 陈天柱 参与项目实施方案编制，参与项目关键技术研究和技术在王坡煤矿现场试验及推广应用，参与项目科研报告和技术成果等材料的编写。马强参与项目总体方案制定，参与碎软煤层气动定向成孔与护孔技术、除尘技术、氮气远距离输送技术研究，负责组织技术在王坡煤矿现场试验及推广应用。 </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w:t>
      </w:r>
      <w:r>
        <w:rPr>
          <w:rFonts w:hint="eastAsia" w:ascii="方正仿宋_GBK" w:hAnsi="方正仿宋_GBK" w:eastAsia="方正仿宋_GBK" w:cs="方正仿宋_GBK"/>
          <w:b/>
          <w:bCs/>
          <w:color w:val="000000"/>
          <w:sz w:val="32"/>
          <w:szCs w:val="32"/>
          <w:shd w:val="clear" w:color="auto" w:fill="FFFFFF"/>
          <w:lang w:val="en-US" w:eastAsia="zh-CN"/>
        </w:rPr>
        <w:t>（六）</w:t>
      </w:r>
      <w:r>
        <w:rPr>
          <w:rFonts w:hint="eastAsia" w:ascii="方正仿宋_GBK" w:hAnsi="方正仿宋_GBK" w:eastAsia="方正仿宋_GBK" w:cs="方正仿宋_GBK"/>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急性脂肪栓塞综合症的临床研究</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工作中，急性脂肪栓塞发病急骤，病情发展迅速，可在1～3d内死亡，死亡率高。目前关于FES的病理生理机制尚未完全清楚，也没有针对FES的统一的治疗方案。如何减少脂肪栓塞发生率及降低急性脂肪栓塞患者的死亡率，是临床医师研究的重点之一。</w:t>
      </w:r>
    </w:p>
    <w:p>
      <w:pPr>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对此本项目</w:t>
      </w:r>
      <w:r>
        <w:rPr>
          <w:rFonts w:hint="eastAsia" w:ascii="仿宋_GB2312" w:hAnsi="仿宋_GB2312" w:eastAsia="仿宋_GB2312" w:cs="仿宋_GB2312"/>
          <w:sz w:val="32"/>
          <w:szCs w:val="32"/>
        </w:rPr>
        <w:t>做了回顾性研究，</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收集2016年1月到2020年12月山西晋城大医院诊治的13例脂肪栓塞综合征患者的临床资料，分析了其临床特点、诊断及治疗方法。得出结论，提示骨科医师如何第一时间诊断急性脂肪栓塞，早期处理和干预，降低急性脂肪栓塞发生率和提高其治愈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对骨科医生在该疾病的预防，诊治方面有极大的帮助。</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本</w:t>
      </w:r>
      <w:r>
        <w:rPr>
          <w:rFonts w:hint="eastAsia" w:ascii="仿宋_GB2312" w:hAnsi="仿宋_GB2312" w:eastAsia="仿宋_GB2312" w:cs="仿宋_GB2312"/>
          <w:sz w:val="32"/>
          <w:szCs w:val="32"/>
        </w:rPr>
        <w:t>项目通过采用临床病例的回顾性分析研究，设计科学，方法正确，数据可靠，提交的资料客观完整</w:t>
      </w:r>
      <w:r>
        <w:rPr>
          <w:rFonts w:hint="eastAsia" w:ascii="仿宋_GB2312" w:hAnsi="仿宋_GB2312" w:eastAsia="仿宋_GB2312" w:cs="仿宋_GB2312"/>
          <w:sz w:val="32"/>
          <w:szCs w:val="32"/>
          <w:lang w:eastAsia="zh-CN"/>
        </w:rPr>
        <w:t>，并</w:t>
      </w:r>
      <w:r>
        <w:rPr>
          <w:rFonts w:hint="eastAsia" w:ascii="仿宋_GB2312" w:hAnsi="仿宋_GB2312" w:eastAsia="仿宋_GB2312" w:cs="仿宋_GB2312"/>
          <w:sz w:val="32"/>
          <w:szCs w:val="32"/>
        </w:rPr>
        <w:t>发表了SCI论文，达到国内领先水平。</w:t>
      </w:r>
      <w:r>
        <w:rPr>
          <w:rFonts w:hint="eastAsia" w:ascii="仿宋_GB2312" w:hAnsi="仿宋_GB2312" w:eastAsia="仿宋_GB2312" w:cs="仿宋_GB2312"/>
          <w:sz w:val="32"/>
          <w:szCs w:val="32"/>
          <w:lang w:eastAsia="zh-CN"/>
        </w:rPr>
        <w:t>其研究</w:t>
      </w:r>
      <w:r>
        <w:rPr>
          <w:rFonts w:hint="eastAsia" w:ascii="仿宋_GB2312" w:hAnsi="仿宋_GB2312" w:eastAsia="仿宋_GB2312" w:cs="仿宋_GB2312"/>
          <w:sz w:val="32"/>
          <w:szCs w:val="32"/>
        </w:rPr>
        <w:t>成果对临床一线医师有指导意义，值得推广。</w:t>
      </w:r>
    </w:p>
    <w:p>
      <w:pP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通过对</w:t>
      </w:r>
      <w:r>
        <w:rPr>
          <w:rFonts w:hint="eastAsia" w:ascii="仿宋_GB2312" w:hAnsi="仿宋_GB2312" w:eastAsia="仿宋_GB2312" w:cs="仿宋_GB2312"/>
          <w:sz w:val="32"/>
          <w:szCs w:val="32"/>
        </w:rPr>
        <w:t>有长骨骨折、多发创伤等FES高危患者应严密监测患者生命体征，对原发伤进行积极有效处理，对患者的病情和全身状况做出正确评估，当患者生命体征改变时应警惕FES，尽快确诊并及时治疗，降低死亡率。该研究成果已在SCI收录期刊World Journal of</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Clinical Cases 发表研究论文1篇。</w:t>
      </w:r>
    </w:p>
    <w:p>
      <w:pPr>
        <w:keepNext w:val="0"/>
        <w:keepLines w:val="0"/>
        <w:pageBreakBefore w:val="0"/>
        <w:widowControl w:val="0"/>
        <w:kinsoku/>
        <w:wordWrap/>
        <w:overflowPunct/>
        <w:topLinePunct w:val="0"/>
        <w:autoSpaceDE/>
        <w:autoSpaceDN/>
        <w:bidi w:val="0"/>
        <w:adjustRightInd/>
        <w:snapToGrid/>
        <w:spacing w:line="580" w:lineRule="exact"/>
        <w:ind w:leftChars="0" w:firstLine="642" w:firstLineChars="200"/>
        <w:jc w:val="both"/>
        <w:textAlignment w:val="auto"/>
        <w:rPr>
          <w:rFonts w:hint="eastAsia" w:ascii="方正仿宋_GBK" w:hAnsi="方正仿宋_GBK" w:eastAsia="方正仿宋_GBK" w:cs="方正仿宋_GBK"/>
          <w:b/>
          <w:color w:val="auto"/>
          <w:sz w:val="32"/>
          <w:szCs w:val="32"/>
        </w:rPr>
      </w:pPr>
      <w:r>
        <w:rPr>
          <w:rFonts w:hint="eastAsia" w:ascii="方正仿宋_GBK" w:hAnsi="方正仿宋_GBK" w:eastAsia="方正仿宋_GBK" w:cs="方正仿宋_GBK"/>
          <w:b/>
          <w:color w:val="auto"/>
          <w:sz w:val="32"/>
          <w:szCs w:val="32"/>
        </w:rPr>
        <w:t>主要知识产权证明目录</w:t>
      </w:r>
    </w:p>
    <w:p>
      <w:pPr>
        <w:keepNext w:val="0"/>
        <w:keepLines w:val="0"/>
        <w:pageBreakBefore w:val="0"/>
        <w:widowControl w:val="0"/>
        <w:kinsoku/>
        <w:wordWrap/>
        <w:overflowPunct/>
        <w:topLinePunct w:val="0"/>
        <w:autoSpaceDE/>
        <w:autoSpaceDN/>
        <w:bidi w:val="0"/>
        <w:adjustRightInd/>
        <w:snapToGrid/>
        <w:spacing w:line="580" w:lineRule="exact"/>
        <w:ind w:leftChars="0" w:firstLine="640" w:firstLineChars="200"/>
        <w:jc w:val="both"/>
        <w:textAlignment w:val="auto"/>
        <w:rPr>
          <w:rFonts w:hint="eastAsia"/>
        </w:rPr>
      </w:pPr>
      <w:r>
        <w:rPr>
          <w:rFonts w:hint="eastAsia" w:ascii="方正仿宋_GBK" w:hAnsi="方正仿宋_GBK" w:eastAsia="方正仿宋_GBK" w:cs="方正仿宋_GBK"/>
          <w:color w:val="auto"/>
          <w:sz w:val="32"/>
          <w:szCs w:val="32"/>
        </w:rPr>
        <w:t>无</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杨佳、崔忠宁、靳江涛、陈晋伟、崔少波、庞利凯、闫凯敏。本项目</w:t>
      </w:r>
      <w:r>
        <w:rPr>
          <w:rFonts w:hint="eastAsia" w:ascii="仿宋_GB2312" w:hAnsi="仿宋_GB2312" w:eastAsia="仿宋_GB2312" w:cs="仿宋_GB2312"/>
          <w:sz w:val="32"/>
          <w:szCs w:val="32"/>
          <w:lang w:val="en-US" w:eastAsia="zh-CN"/>
        </w:rPr>
        <w:t>7名主要完成人均从事骨外科学及急救医学方向的研究。</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color w:val="auto"/>
          <w:sz w:val="32"/>
          <w:szCs w:val="32"/>
          <w:lang w:eastAsia="zh-CN"/>
        </w:rPr>
        <w:t>　</w:t>
      </w:r>
      <w:r>
        <w:rPr>
          <w:rFonts w:hint="eastAsia" w:ascii="仿宋_GB2312" w:hAnsi="仿宋_GB2312" w:eastAsia="仿宋_GB2312" w:cs="仿宋_GB2312"/>
          <w:b/>
          <w:bCs/>
          <w:color w:val="auto"/>
          <w:sz w:val="32"/>
          <w:szCs w:val="32"/>
        </w:rPr>
        <w:t>主要完成单位</w:t>
      </w:r>
      <w:r>
        <w:rPr>
          <w:rFonts w:hint="eastAsia" w:ascii="仿宋_GB2312" w:hAnsi="仿宋_GB2312" w:eastAsia="仿宋_GB2312" w:cs="仿宋_GB2312"/>
          <w:b/>
          <w:bCs/>
          <w:color w:val="auto"/>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color w:val="auto"/>
          <w:sz w:val="32"/>
          <w:szCs w:val="32"/>
          <w:lang w:eastAsia="zh-CN"/>
        </w:rPr>
      </w:pPr>
      <w:r>
        <w:rPr>
          <w:rFonts w:hint="eastAsia" w:ascii="仿宋_GB2312" w:hAnsi="仿宋_GB2312" w:eastAsia="仿宋_GB2312" w:cs="仿宋_GB2312"/>
          <w:color w:val="auto"/>
          <w:sz w:val="32"/>
          <w:szCs w:val="32"/>
          <w:lang w:eastAsia="zh-CN"/>
        </w:rPr>
        <w:t>主要完成单位为</w:t>
      </w:r>
      <w:r>
        <w:rPr>
          <w:rFonts w:hint="eastAsia" w:ascii="仿宋_GB2312" w:hAnsi="仿宋_GB2312" w:eastAsia="仿宋_GB2312" w:cs="仿宋_GB2312"/>
          <w:color w:val="auto"/>
          <w:sz w:val="32"/>
          <w:szCs w:val="32"/>
        </w:rPr>
        <w:t>晋城大医院</w:t>
      </w:r>
      <w:r>
        <w:rPr>
          <w:rFonts w:hint="eastAsia" w:ascii="仿宋_GB2312" w:hAnsi="仿宋_GB2312" w:eastAsia="仿宋_GB2312" w:cs="仿宋_GB2312"/>
          <w:color w:val="auto"/>
          <w:sz w:val="32"/>
          <w:szCs w:val="32"/>
          <w:lang w:eastAsia="zh-CN"/>
        </w:rPr>
        <w:t>，晋城大医院前身为晋城煤业集团总医院，骨科是我院的品牌学科。煤矿及交通事故导致的骨科患者中，很容易发生脂肪栓塞综合症。但此病在临床工作中容易被忽略，往往造成严重后果。当患者生命体征改变时应警惕FES，尽快确诊并予及时治疗，降低死亡率。同时借此把急性脂肪栓塞综合症的诊治经验分享给了同级别的医院以及我们医疗集团下属的基层医院，实现健康中国伟大目标。</w:t>
      </w:r>
    </w:p>
    <w:p>
      <w:pPr>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（七）</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免疫与炎症因素在高危非肌层浸润性膀胱癌患者预后评估中的价值研究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膀胱癌发病率居恶性肿瘤发病率第10位，死亡率居第13位。经尿道膀胱肿瘤切除术（TURBT）是非肌层浸润性膀胱癌患者的一线手术方式。然而，70%的患者在接受TURBT治疗后可能复发，5年复发率高达30%～80%，高危NMIBC具有更高的复发率与更低的生存率。基于高危NMIBC复发、生存等肿瘤学预后的评估现状，以及营养缺乏、全身炎症反应在膀胱癌复发、进展中的重要作用。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研究共两部分。第一部分，首先研究了新型炎症指标SIRI在预测高危NMIBC患者术后肿瘤复发中的价值。其次，成功构建了基于术前SIRI的诺莫图（Nomogram），并对该诺莫图在高危NMIBC术后肿瘤复发中的预测价值进行了评估。第二部分，首先分析了新型营养与炎症相关指标（包括预后营养指数PNI和全身免疫炎症指数SII）在高危NMIBC患者术后长期生存中的预测价值，其次，针对高危NMIBC患者中肿瘤复发、进展风险极高的极高危NMIBC亚组，我们也有效评估了PNI、SII在该亚组患者术后长期生存中的重要预测作用。</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对高危NMIBC患者行积极有效的复发与生存预测，能做好早期干预，规避肿瘤进展、转移等情况，进而提高患者生存率，节约患者的经济支出与医保支出，具有较大的社会效益与经济效益。基于PNI、SIRI与SII检查项目涉及实验室常规项目（包括中性粒细胞、血小板、淋巴细胞、白蛋白等），检验成本较低，将其纳入评估体系后，可以有效预测膀胱癌患者的复发、生存等肿瘤学预后，具有较大的临床应用价值。通过较小的“成本”实现了对膀胱癌患者生存预后的有效评估，从而指导临床积极合理诊治，减轻患者痛苦与负担，降低社会医疗成本，具有很大经济和社会效益。</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本研究将高危NMIBC患者选做研究对象，收集患者临床病理资料与随访数据，将基于实验室常规生化检查的新型炎症指标SIRI作为评估指标，分析了SIRI与高危NMIBC患者术后肿瘤复发间的关系，明确了该指标在预测高危NMIBC患者术后无复发生存期中的作用，提示SIRI可作为评估高危NMIBC患者术后复发情况的重要指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此外，本研究还将新型免疫炎症指标PNI、SII作为评估指标，分析了两指标与高危NMIBC患者术后肿瘤特异生存率（CSS）、总生存率（OS）间关系，发现PNI、SII可有效预测高危NMIBC患者术后CSS、OS，PNI与SII的成功筛选，有助于优化对高危型NMIBC患者的术后生存预测水平。</w:t>
      </w:r>
      <w:r>
        <w:rPr>
          <w:rFonts w:hint="eastAsia" w:ascii="仿宋_GB2312" w:hAnsi="仿宋_GB2312" w:eastAsia="仿宋_GB2312" w:cs="仿宋_GB2312"/>
          <w:sz w:val="32"/>
          <w:szCs w:val="32"/>
        </w:rPr>
        <w:t>该研究成果已</w:t>
      </w:r>
      <w:r>
        <w:rPr>
          <w:rFonts w:hint="eastAsia" w:ascii="仿宋_GB2312" w:hAnsi="仿宋_GB2312" w:eastAsia="仿宋_GB2312" w:cs="仿宋_GB2312"/>
          <w:sz w:val="32"/>
          <w:szCs w:val="32"/>
          <w:lang w:eastAsia="zh-CN"/>
        </w:rPr>
        <w:t>发表于</w:t>
      </w:r>
      <w:r>
        <w:rPr>
          <w:rFonts w:hint="eastAsia" w:ascii="仿宋_GB2312" w:hAnsi="仿宋_GB2312" w:eastAsia="仿宋_GB2312" w:cs="仿宋_GB2312"/>
          <w:sz w:val="32"/>
          <w:szCs w:val="32"/>
        </w:rPr>
        <w:t>SCI收录期刊Cancer Management and Research</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color w:val="C00000"/>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b w:val="0"/>
          <w:bCs/>
          <w:color w:val="C00000"/>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主要完成人为毕慧锋、薛伟民、徐峰、靳江涛、欧彤文、冯中文、宁新荣、郭星。本项目</w:t>
      </w:r>
      <w:r>
        <w:rPr>
          <w:rFonts w:hint="eastAsia" w:ascii="仿宋_GB2312" w:hAnsi="仿宋_GB2312" w:eastAsia="仿宋_GB2312" w:cs="仿宋_GB2312"/>
          <w:sz w:val="32"/>
          <w:szCs w:val="32"/>
          <w:lang w:val="en-US" w:eastAsia="zh-CN"/>
        </w:rPr>
        <w:t>8名主要完成人均从事外科学方向的研究。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，提供本项目中非肌层浸润性膀胱癌患者临床数据。</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该成果除</w:t>
      </w:r>
      <w:r>
        <w:rPr>
          <w:rFonts w:hint="eastAsia" w:ascii="仿宋_GB2312" w:hAnsi="仿宋_GB2312" w:eastAsia="仿宋_GB2312" w:cs="仿宋_GB2312"/>
          <w:sz w:val="32"/>
          <w:szCs w:val="32"/>
          <w:lang w:eastAsia="zh-CN"/>
        </w:rPr>
        <w:t>欧彤文</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eastAsia="zh-CN"/>
        </w:rPr>
        <w:t>首都医科大学宣武医院主任医师</w:t>
      </w:r>
      <w:r>
        <w:rPr>
          <w:rFonts w:hint="eastAsia" w:ascii="仿宋_GB2312" w:hAnsi="仿宋_GB2312" w:eastAsia="仿宋_GB2312" w:cs="仿宋_GB2312"/>
          <w:sz w:val="32"/>
          <w:szCs w:val="32"/>
        </w:rPr>
        <w:t>外，其他人员</w:t>
      </w:r>
      <w:r>
        <w:rPr>
          <w:rFonts w:hint="eastAsia" w:ascii="仿宋_GB2312" w:hAnsi="仿宋_GB2312" w:eastAsia="仿宋_GB2312" w:cs="仿宋_GB2312"/>
          <w:sz w:val="32"/>
          <w:szCs w:val="32"/>
          <w:lang w:eastAsia="zh-CN"/>
        </w:rPr>
        <w:t>参与项目时</w:t>
      </w:r>
      <w:r>
        <w:rPr>
          <w:rFonts w:hint="eastAsia" w:ascii="仿宋_GB2312" w:hAnsi="仿宋_GB2312" w:eastAsia="仿宋_GB2312" w:cs="仿宋_GB2312"/>
          <w:sz w:val="32"/>
          <w:szCs w:val="32"/>
        </w:rPr>
        <w:t>均为晋城大医院职工，该成果是晋城大医院独立完成，欧彤文对该成果</w:t>
      </w:r>
      <w:r>
        <w:rPr>
          <w:rFonts w:hint="eastAsia" w:ascii="仿宋_GB2312" w:hAnsi="仿宋_GB2312" w:eastAsia="仿宋_GB2312" w:cs="仿宋_GB2312"/>
          <w:sz w:val="32"/>
          <w:szCs w:val="32"/>
          <w:lang w:eastAsia="zh-CN"/>
        </w:rPr>
        <w:t>课题设计</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总结分析</w:t>
      </w:r>
      <w:r>
        <w:rPr>
          <w:rFonts w:hint="eastAsia" w:ascii="仿宋_GB2312" w:hAnsi="仿宋_GB2312" w:eastAsia="仿宋_GB2312" w:cs="仿宋_GB2312"/>
          <w:sz w:val="32"/>
          <w:szCs w:val="32"/>
        </w:rPr>
        <w:t>方面做出了贡献，属于个人参与，不是单位共同合作。</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（八）</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320" w:firstLineChars="1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vertAlign w:val="superscript"/>
          <w:lang w:eastAsia="zh-CN"/>
        </w:rPr>
        <w:t>　</w:t>
      </w:r>
      <w:r>
        <w:rPr>
          <w:rFonts w:hint="eastAsia" w:ascii="仿宋_GB2312" w:hAnsi="仿宋_GB2312" w:eastAsia="仿宋_GB2312" w:cs="仿宋_GB2312"/>
          <w:sz w:val="32"/>
          <w:szCs w:val="32"/>
          <w:vertAlign w:val="superscript"/>
        </w:rPr>
        <w:t>18</w:t>
      </w:r>
      <w:r>
        <w:rPr>
          <w:rFonts w:hint="eastAsia" w:ascii="仿宋_GB2312" w:hAnsi="仿宋_GB2312" w:eastAsia="仿宋_GB2312" w:cs="仿宋_GB2312"/>
          <w:sz w:val="32"/>
          <w:szCs w:val="32"/>
        </w:rPr>
        <w:t>F-FDG PET/CT评价兔VX</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肺癌模型不同治疗方案的实验研究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低能低剂量率放射性粒子（</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I）永久性植入肿瘤靶区内近距离治疗恶性肿瘤始于20世纪初，是在计算机技术辅助下的精确放射治疗技术。 本研究采用不同方法制备兔VX</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肺癌模型，对比不同制备方案的成功率。制备成功后行</w:t>
      </w:r>
      <w:r>
        <w:rPr>
          <w:rFonts w:hint="eastAsia" w:ascii="仿宋_GB2312" w:hAnsi="仿宋_GB2312" w:eastAsia="仿宋_GB2312" w:cs="仿宋_GB2312"/>
          <w:sz w:val="32"/>
          <w:szCs w:val="32"/>
          <w:vertAlign w:val="superscript"/>
        </w:rPr>
        <w:t>18</w:t>
      </w:r>
      <w:r>
        <w:rPr>
          <w:rFonts w:hint="eastAsia" w:ascii="仿宋_GB2312" w:hAnsi="仿宋_GB2312" w:eastAsia="仿宋_GB2312" w:cs="仿宋_GB2312"/>
          <w:sz w:val="32"/>
          <w:szCs w:val="32"/>
        </w:rPr>
        <w:t>F-FDG PET/CT显像TPS精确勾画生物靶区，应用PET/CT评价不同治疗方案（0.7mCi</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I粒子植入、单纯化疗、0.7mCi</w:t>
      </w:r>
      <w:r>
        <w:rPr>
          <w:rFonts w:hint="eastAsia" w:ascii="仿宋_GB2312" w:hAnsi="仿宋_GB2312" w:eastAsia="仿宋_GB2312" w:cs="仿宋_GB2312"/>
          <w:sz w:val="32"/>
          <w:szCs w:val="32"/>
          <w:vertAlign w:val="superscript"/>
        </w:rPr>
        <w:t>125</w:t>
      </w:r>
      <w:r>
        <w:rPr>
          <w:rFonts w:hint="eastAsia" w:ascii="仿宋_GB2312" w:hAnsi="仿宋_GB2312" w:eastAsia="仿宋_GB2312" w:cs="仿宋_GB2312"/>
          <w:sz w:val="32"/>
          <w:szCs w:val="32"/>
        </w:rPr>
        <w:t>I粒子植入+化疗）在不同时间点（治疗后3天、1周及2周）肿瘤的治疗疗效。采用流式细胞仪检测兔外周血CD4、CD8的表达，外周血清细胞因子IL-2的情况；利用细胞生物学技术探讨不同治疗方案诱导肿瘤组织凋亡的分子机制，为恶性肿瘤治疗提供理论依据。</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本研究采用不同方法制备兔VX</w:t>
      </w:r>
      <w:r>
        <w:rPr>
          <w:rFonts w:hint="eastAsia" w:ascii="仿宋_GB2312" w:hAnsi="仿宋_GB2312" w:eastAsia="仿宋_GB2312" w:cs="仿宋_GB2312"/>
          <w:sz w:val="32"/>
          <w:szCs w:val="32"/>
          <w:vertAlign w:val="subscript"/>
          <w:lang w:eastAsia="zh-CN"/>
        </w:rPr>
        <w:t>2</w:t>
      </w:r>
      <w:r>
        <w:rPr>
          <w:rFonts w:hint="eastAsia" w:ascii="仿宋_GB2312" w:hAnsi="仿宋_GB2312" w:eastAsia="仿宋_GB2312" w:cs="仿宋_GB2312"/>
          <w:sz w:val="32"/>
          <w:szCs w:val="32"/>
          <w:lang w:eastAsia="zh-CN"/>
        </w:rPr>
        <w:t>肺癌模型，对比不同制备方案的成功率。制备成功后行</w:t>
      </w:r>
      <w:r>
        <w:rPr>
          <w:rFonts w:hint="eastAsia" w:ascii="仿宋_GB2312" w:hAnsi="仿宋_GB2312" w:eastAsia="仿宋_GB2312" w:cs="仿宋_GB2312"/>
          <w:sz w:val="32"/>
          <w:szCs w:val="32"/>
          <w:vertAlign w:val="superscript"/>
          <w:lang w:eastAsia="zh-CN"/>
        </w:rPr>
        <w:t>18</w:t>
      </w:r>
      <w:r>
        <w:rPr>
          <w:rFonts w:hint="eastAsia" w:ascii="仿宋_GB2312" w:hAnsi="仿宋_GB2312" w:eastAsia="仿宋_GB2312" w:cs="仿宋_GB2312"/>
          <w:sz w:val="32"/>
          <w:szCs w:val="32"/>
          <w:lang w:eastAsia="zh-CN"/>
        </w:rPr>
        <w:t>F-FDG PET/CT显像TPS精确勾画生物靶区，应用PET/CT评价不同治疗方案（0.7mCi125I粒子植入、单纯化疗、0.7mCi125I粒子植入+化疗）在不同时间点（治疗后3天、1周及2周）肿瘤的治疗疗效。不同时间点取完整病理组织一部分进行免疫组化观察，一部分进行PCR法检测肿瘤细胞VEGF、Bcl-2和Bax基因mRNA表达的影响，Western blot检测蛋白的表达变化；利用细胞生物学技术探讨不同治疗方案诱导肿瘤组织凋亡的分子机制，为恶性肿瘤治疗提供理论依据。</w:t>
      </w:r>
      <w:r>
        <w:rPr>
          <w:rFonts w:hint="eastAsia" w:ascii="仿宋_GB2312" w:hAnsi="仿宋_GB2312" w:eastAsia="仿宋_GB2312" w:cs="仿宋_GB2312"/>
          <w:sz w:val="32"/>
          <w:szCs w:val="32"/>
          <w:vertAlign w:val="superscript"/>
          <w:lang w:eastAsia="zh-CN"/>
        </w:rPr>
        <w:t>125</w:t>
      </w:r>
      <w:r>
        <w:rPr>
          <w:rFonts w:hint="eastAsia" w:ascii="仿宋_GB2312" w:hAnsi="仿宋_GB2312" w:eastAsia="仿宋_GB2312" w:cs="仿宋_GB2312"/>
          <w:sz w:val="32"/>
          <w:szCs w:val="32"/>
          <w:lang w:eastAsia="zh-CN"/>
        </w:rPr>
        <w:t>I粒子+化疗联合治疗方案比单纯</w:t>
      </w:r>
      <w:r>
        <w:rPr>
          <w:rFonts w:hint="eastAsia" w:ascii="仿宋_GB2312" w:hAnsi="仿宋_GB2312" w:eastAsia="仿宋_GB2312" w:cs="仿宋_GB2312"/>
          <w:sz w:val="32"/>
          <w:szCs w:val="32"/>
          <w:vertAlign w:val="superscript"/>
          <w:lang w:eastAsia="zh-CN"/>
        </w:rPr>
        <w:t>125</w:t>
      </w:r>
      <w:r>
        <w:rPr>
          <w:rFonts w:hint="eastAsia" w:ascii="仿宋_GB2312" w:hAnsi="仿宋_GB2312" w:eastAsia="仿宋_GB2312" w:cs="仿宋_GB2312"/>
          <w:sz w:val="32"/>
          <w:szCs w:val="32"/>
          <w:lang w:eastAsia="zh-CN"/>
        </w:rPr>
        <w:t>I粒子植入治疗或单纯化疗效果好，控制了肿瘤的复发和转移。由于本研究设计样本量少，时间有限，仅检测了凋亡相关蛋白及细胞因子的表达变化，对发生这些变化的机制研究不够深入，今后将进一步扩大样本量，并对诱导凋亡的机制进一步深入研究。</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该成果已在我院临床筛查中广泛推广应用，</w:t>
      </w:r>
      <w:r>
        <w:rPr>
          <w:rFonts w:hint="eastAsia" w:ascii="仿宋_GB2312" w:hAnsi="仿宋_GB2312" w:eastAsia="仿宋_GB2312" w:cs="仿宋_GB2312"/>
          <w:sz w:val="32"/>
          <w:szCs w:val="32"/>
          <w:lang w:eastAsia="zh-CN"/>
        </w:rPr>
        <w:t>低能低剂量率放射性粒子（125I）永久性植入肿瘤靶区内近距离治疗恶性肿瘤始于20世纪初，通过发射X、r射线作用于细胞的超微结构使肿瘤细胞破裂、崩解，最终达到治疗肿瘤的目的。18F-FDG PET/CT 通过对肿瘤葡萄糖代谢率改变的分析，不仅能观察肿瘤大小，更重要的是通过观察存活的肿瘤细胞对葡萄糖有高代谢而坏死区无代谢的特点，按照TPS（放射性粒子源植入治疗计划系统）制定放射粒子治疗计划，更加准确勾画生物靶区，将粒子精确植入存活的肿瘤区内。</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主要完成人为王娟、王正、姚永熠、赵瑞峰、范强、王峰、李江。本项目</w:t>
      </w:r>
      <w:r>
        <w:rPr>
          <w:rFonts w:hint="eastAsia" w:ascii="仿宋_GB2312" w:hAnsi="仿宋_GB2312" w:eastAsia="仿宋_GB2312" w:cs="仿宋_GB2312"/>
          <w:sz w:val="32"/>
          <w:szCs w:val="32"/>
          <w:lang w:val="en-US" w:eastAsia="zh-CN"/>
        </w:rPr>
        <w:t>7名主要完成人均从事核医学科方向的研究。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，晋城大医院是本地区规模最大的三级甲等医院，核医学科已熟练掌握PET/CT诊断分析技术，熟练掌握125I粒子植入技术，得到了我院以及晋城地区医务人员的广泛认可和支持。为肿瘤患者带来了福音。</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w:t>
      </w:r>
      <w:r>
        <w:rPr>
          <w:rFonts w:hint="eastAsia" w:ascii="仿宋_GB2312" w:hAnsi="仿宋_GB2312" w:eastAsia="仿宋_GB2312" w:cs="仿宋_GB2312"/>
          <w:sz w:val="32"/>
          <w:szCs w:val="32"/>
          <w:lang w:eastAsia="zh-CN"/>
        </w:rPr>
        <w:t>在从事奔向研究时</w:t>
      </w:r>
      <w:r>
        <w:rPr>
          <w:rFonts w:hint="eastAsia" w:ascii="仿宋_GB2312" w:hAnsi="仿宋_GB2312" w:eastAsia="仿宋_GB2312" w:cs="仿宋_GB2312"/>
          <w:sz w:val="32"/>
          <w:szCs w:val="32"/>
        </w:rPr>
        <w:t>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（九）</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跟骨关节内压缩骨折地图的研究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临床骨折地图技术（fracture mapping）具体来说是通过影像图片的重建技术而得到骨折的特征图像，利用绘图软件提取骨折线、统一叠加到正常模板上，再通过骨折线的“大数据”集中展示，就得到骨折线地图，从而可运用于骨折的进一步统计分析。自2009年以来，骨折地图已被广泛应用于描绘肩胛骨骨折、胫骨平台骨折、股骨远端骨折、Pilon骨折、桡骨头骨折等方面。这种骨折地图的方法可以将骨折形态直观、准确地展示出来有利于汇总骨折的相关结构和形态特点。Ni等利用62例复杂跟骨骨折患者的CT 数据绘制了复杂复杂跟骨骨折图。然而，跟骨有多种损伤机制，可导致不同类型的骨折，有待进一步探索。目前国内外对于跟骨骨折地图的研究极少，Ni等曾利用跟骨关节内骨折绘制骨折地图。然而，跟骨分型众多，应用最多的是Essex-Lopresti分型，需要进一步探索各分型骨折线特征。因此，本研究首次采用197例跟骨关节内压缩骨折患者的3D-CT来绘制骨折地图，为临床治疗提供参考。</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这项研究建立了跟骨关节内骨折地图，可用于指导手术计划和优化内固定设计，同时为跟骨生物力学研究提供了标准骨折模板。我院医师已将该技术应用于23例跟骨骨折诊治，术前使用Mimics软件的分割功能提取跟骨三维实体，有条件情况下进行3D打印，判断骨折线情况，术前规划，从而更精准复位。在重建软件条件不具备情况下，使用传统跟骨CT平扫图像（sanders分型）及X片（essex-lporesti分型），间接判断跟骨前、中、后跟距关节骨折线分布情况，指导术中复位。反馈结果显示此技术明显提高了复位精准度，缩短了手术时间。</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晋城大医院骨科为山西省重点学科，每年约200例跟骨骨折患者，我院目前跟骨骨折手术已逐渐从传统L切口内固定逐步改进为跗骨窦切口，经皮螺钉固定等微创手术方式，同时足踝功能得到了提升，切口坏死、感染率降低。通过骨折地图研究，使课题组人员掌握3D打印技术及术前规划方法，可以有效提高手术效率及疗效，造福广大患者。通过骨折地图研究，发表论文，可使我院此项技术达到国际先进水平，提高我院的知名度。通过绘制跟骨关节内压缩骨折地图，提高了医师对于跟骨骨折机制及特点的认识，更加有助于判断伤情及术中复位。目前我院医师已将该技术应用于跟骨骨折诊治当中，术前使用Mimics软件的分割功能提取跟骨三维实体，有条件情况下进行3D打印，判断骨折线情况，术前规划，从而更精准复位。在重建软件条件不具备情况下，使用传统跟骨CT平扫图像（sanders分型）及X片（essex-lporesti分型），间接判断跟骨前、中、后跟距关节骨折线分布情况，指导术中复位。</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pStyle w:val="2"/>
        <w:rPr>
          <w:rFonts w:hint="eastAsia" w:ascii="仿宋_GB2312" w:hAnsi="仿宋_GB2312" w:eastAsia="仿宋_GB2312" w:cs="仿宋_GB2312"/>
          <w:sz w:val="32"/>
          <w:szCs w:val="32"/>
          <w:lang w:eastAsia="zh-CN"/>
        </w:rPr>
      </w:pPr>
      <w:r>
        <w:rPr>
          <w:rFonts w:hint="eastAsia" w:ascii="仿宋_GB2312" w:hAnsi="仿宋_GB2312" w:eastAsia="仿宋_GB2312" w:cs="仿宋_GB2312"/>
          <w:b/>
          <w:color w:val="auto"/>
          <w:sz w:val="32"/>
          <w:szCs w:val="32"/>
          <w:lang w:eastAsia="zh-CN"/>
        </w:rPr>
        <w:t>　　</w:t>
      </w: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主要完成人为郭小波、靳江涛、陈晋伟、吴跃东、景平生、田志敏、王培鑫、刘君阳。本项目</w:t>
      </w:r>
      <w:r>
        <w:rPr>
          <w:rFonts w:hint="eastAsia" w:ascii="仿宋_GB2312" w:hAnsi="仿宋_GB2312" w:eastAsia="仿宋_GB2312" w:cs="仿宋_GB2312"/>
          <w:sz w:val="32"/>
          <w:szCs w:val="32"/>
          <w:lang w:val="en-US" w:eastAsia="zh-CN"/>
        </w:rPr>
        <w:t>8名主要完成人均从事骨外科学方向的研究。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骨科为山西省重点学科，每年约200例跟骨骨折患者，通过绘制跟骨关节内压缩骨折地图，提高了医师对于跟骨骨折机制及特点的认识，更加有助于判断伤情及术中复位。目前我院医师已将该技术应用于跟骨骨折诊治当中，有效地提高手术效率及疗效，造福广大患者。</w:t>
      </w:r>
    </w:p>
    <w:p>
      <w:pPr>
        <w:ind w:firstLine="321" w:firstLineChars="100"/>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完成人合作关系说明</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kinsoku/>
        <w:wordWrap/>
        <w:overflowPunct/>
        <w:topLinePunct w:val="0"/>
        <w:bidi w:val="0"/>
        <w:spacing w:line="560" w:lineRule="exact"/>
        <w:outlineLvl w:val="9"/>
        <w:rPr>
          <w:rFonts w:hint="eastAsia" w:ascii="仿宋_GB2312" w:hAnsi="仿宋_GB2312" w:eastAsia="仿宋_GB2312" w:cs="仿宋_GB2312"/>
          <w:b/>
          <w:bCs/>
          <w:color w:val="000000"/>
          <w:sz w:val="32"/>
          <w:szCs w:val="32"/>
          <w:shd w:val="clear" w:color="auto" w:fill="FFFFFF"/>
          <w:lang w:eastAsia="zh-CN"/>
        </w:rPr>
      </w:pPr>
      <w:r>
        <w:rPr>
          <w:rFonts w:hint="eastAsia" w:ascii="仿宋_GB2312" w:hAnsi="仿宋_GB2312" w:eastAsia="仿宋_GB2312" w:cs="仿宋_GB2312"/>
          <w:b/>
          <w:bCs/>
          <w:color w:val="000000"/>
          <w:sz w:val="32"/>
          <w:szCs w:val="32"/>
          <w:shd w:val="clear" w:color="auto" w:fill="FFFFFF"/>
          <w:lang w:val="en-US" w:eastAsia="zh-CN"/>
        </w:rPr>
        <w:t>　　（十）</w:t>
      </w:r>
      <w:r>
        <w:rPr>
          <w:rFonts w:hint="eastAsia" w:ascii="仿宋_GB2312" w:hAnsi="仿宋_GB2312" w:eastAsia="仿宋_GB2312" w:cs="仿宋_GB2312"/>
          <w:b/>
          <w:bCs/>
          <w:color w:val="000000"/>
          <w:sz w:val="32"/>
          <w:szCs w:val="32"/>
          <w:shd w:val="clear" w:color="auto" w:fill="FFFFFF"/>
        </w:rPr>
        <w:t>项目名称</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煤矿工人噪音性聋的防控研究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sz w:val="32"/>
          <w:szCs w:val="32"/>
        </w:rPr>
      </w:pPr>
      <w:r>
        <w:rPr>
          <w:rFonts w:hint="eastAsia" w:ascii="仿宋_GB2312" w:hAnsi="仿宋_GB2312" w:eastAsia="仿宋_GB2312" w:cs="仿宋_GB2312"/>
          <w:color w:val="000000"/>
          <w:sz w:val="32"/>
          <w:szCs w:val="32"/>
        </w:rPr>
        <w:t>晋城市</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提名单位意见</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提名参加山西省</w:t>
      </w:r>
      <w:r>
        <w:rPr>
          <w:rFonts w:hint="eastAsia" w:ascii="仿宋_GB2312" w:hAnsi="仿宋_GB2312" w:eastAsia="仿宋_GB2312" w:cs="仿宋_GB2312"/>
          <w:sz w:val="32"/>
          <w:szCs w:val="32"/>
        </w:rPr>
        <w:t>科技进步</w:t>
      </w: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等奖</w:t>
      </w:r>
      <w:r>
        <w:rPr>
          <w:rFonts w:hint="eastAsia" w:ascii="仿宋_GB2312" w:hAnsi="仿宋_GB2312" w:eastAsia="仿宋_GB2312" w:cs="仿宋_GB2312"/>
          <w:color w:val="000000"/>
          <w:sz w:val="32"/>
          <w:szCs w:val="32"/>
        </w:rPr>
        <w:t>评审。</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sz w:val="32"/>
          <w:szCs w:val="32"/>
        </w:rPr>
        <w:t>项目简介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项目利用新型的防护生物材料及防噪芯子的植入，对个体耳道进行定制，针对普通护耳器存在的问题，开发出更有效、依从性好的防护耳塞。针对煤矿井下作业环境噪音对工人听觉器官的损害，在原有的防护措施特别是防护耳塞方面进行噪音性聋职业性防护的进一步研究，利用新型的防护生物材料及防噪芯子的植入，3D打印成型技术应用对个体耳道进行定制，开发出更有效、依从性好的防护耳塞。</w:t>
      </w:r>
      <w:r>
        <w:rPr>
          <w:rFonts w:hint="eastAsia" w:ascii="仿宋_GB2312" w:hAnsi="仿宋_GB2312" w:eastAsia="仿宋_GB2312" w:cs="仿宋_GB2312"/>
          <w:sz w:val="32"/>
          <w:szCs w:val="32"/>
          <w:lang w:eastAsia="zh-CN"/>
        </w:rPr>
        <w:t>通过</w:t>
      </w:r>
      <w:r>
        <w:rPr>
          <w:rFonts w:hint="eastAsia" w:ascii="仿宋_GB2312" w:hAnsi="仿宋_GB2312" w:eastAsia="仿宋_GB2312" w:cs="仿宋_GB2312"/>
          <w:sz w:val="32"/>
          <w:szCs w:val="32"/>
        </w:rPr>
        <w:t>选取晋控装备成庄矿噪声接触8小时&gt;85dB的井下职工200人，随机分为研究组与对照组，每组各100人。研究组佩戴待验证定制耳塞，对照组佩戴市售成型弹性耳塞。追踪观察所有人1年中听阈改变及神经系统不适反应发生率，并对结果进行统计学分析，评价耳塞效果。</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客观评价</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研究设计针对目前煤矿等噪声环境工作防护的需要，本着预防噪音性聋，减轻职业危害的社会责任感，对新型定制的防护效果开展相关研究，证实新型耳塞防护有力、精准降噪、舒适有效。该项目研究，设计科学、方法正确，数据可靠，达到了国内领先水平，达到了</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等奖的评奖要求。</w:t>
      </w:r>
    </w:p>
    <w:p>
      <w:pPr>
        <w:ind w:firstLine="321" w:firstLineChars="1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推广应用情况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研究将采用更先进、更有效的方法，来切实保护、保障矿工兄弟的切身利益和身心健康，为企业保护劳动力，提高生产效率，减少事故发生，减少噪声引起的疾病治疗的投入，对企业来说提高了经济效益，减少了患职业病后期投入，对矿工本人及家庭有着重要的意义，有利于社会和谐稳定，有巨大的社会效益。定制耳塞若能达到预期效果，将能取代目前市面上的防护耳塞，甚至能延伸到非煤矿企业，凡是存在噪声的环境均可应用，应用人群也不局限于井下矿工，可以普及到一般人群，前景广阔，市场无界限。</w:t>
      </w:r>
    </w:p>
    <w:p>
      <w:pPr>
        <w:ind w:firstLine="321" w:firstLineChars="100"/>
        <w:rPr>
          <w:rFonts w:hint="eastAsia" w:ascii="仿宋_GB2312" w:hAnsi="仿宋_GB2312" w:eastAsia="仿宋_GB2312" w:cs="仿宋_GB2312"/>
          <w:b/>
          <w:color w:val="auto"/>
          <w:sz w:val="32"/>
          <w:szCs w:val="32"/>
          <w:lang w:eastAsia="zh-CN"/>
        </w:rPr>
      </w:pPr>
      <w:r>
        <w:rPr>
          <w:rFonts w:hint="eastAsia" w:ascii="仿宋_GB2312" w:hAnsi="仿宋_GB2312" w:eastAsia="仿宋_GB2312" w:cs="仿宋_GB2312"/>
          <w:b/>
          <w:sz w:val="32"/>
          <w:szCs w:val="32"/>
          <w:lang w:eastAsia="zh-CN"/>
        </w:rPr>
        <w:t>　</w:t>
      </w:r>
      <w:r>
        <w:rPr>
          <w:rFonts w:hint="eastAsia" w:ascii="仿宋_GB2312" w:hAnsi="仿宋_GB2312" w:eastAsia="仿宋_GB2312" w:cs="仿宋_GB2312"/>
          <w:b/>
          <w:color w:val="auto"/>
          <w:sz w:val="32"/>
          <w:szCs w:val="32"/>
          <w:lang w:eastAsia="zh-CN"/>
        </w:rPr>
        <w:t>主要知识产权证明目录</w:t>
      </w:r>
    </w:p>
    <w:p>
      <w:pPr>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color w:val="auto"/>
          <w:sz w:val="32"/>
          <w:szCs w:val="32"/>
          <w:lang w:eastAsia="zh-CN"/>
        </w:rPr>
        <w:t>无</w:t>
      </w:r>
    </w:p>
    <w:p>
      <w:pPr>
        <w:ind w:firstLine="321"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b/>
          <w:sz w:val="32"/>
          <w:szCs w:val="32"/>
          <w:lang w:eastAsia="zh-CN"/>
        </w:rPr>
        <w:t>　主要完成人情况</w:t>
      </w:r>
    </w:p>
    <w:p>
      <w:pPr>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主要完成人为王星亮、何卿琳、程超、常二鹏、王璇芹、陈佳文。本项目</w:t>
      </w:r>
      <w:r>
        <w:rPr>
          <w:rFonts w:hint="eastAsia" w:ascii="仿宋_GB2312" w:hAnsi="仿宋_GB2312" w:eastAsia="仿宋_GB2312" w:cs="仿宋_GB2312"/>
          <w:sz w:val="32"/>
          <w:szCs w:val="32"/>
          <w:lang w:val="en-US" w:eastAsia="zh-CN"/>
        </w:rPr>
        <w:t>6名主要完成人均从事骨外科学方向的研究。</w:t>
      </w:r>
    </w:p>
    <w:p>
      <w:pPr>
        <w:keepNext w:val="0"/>
        <w:keepLines w:val="0"/>
        <w:pageBreakBefore w:val="0"/>
        <w:kinsoku/>
        <w:wordWrap/>
        <w:overflowPunct/>
        <w:topLinePunct w:val="0"/>
        <w:bidi w:val="0"/>
        <w:spacing w:line="560" w:lineRule="exact"/>
        <w:ind w:firstLine="321" w:firstLineChars="1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　</w:t>
      </w:r>
      <w:r>
        <w:rPr>
          <w:rFonts w:hint="eastAsia" w:ascii="仿宋_GB2312" w:hAnsi="仿宋_GB2312" w:eastAsia="仿宋_GB2312" w:cs="仿宋_GB2312"/>
          <w:b/>
          <w:bCs/>
          <w:sz w:val="32"/>
          <w:szCs w:val="32"/>
        </w:rPr>
        <w:t>主要完成单位</w:t>
      </w:r>
      <w:r>
        <w:rPr>
          <w:rFonts w:hint="eastAsia" w:ascii="仿宋_GB2312" w:hAnsi="仿宋_GB2312" w:eastAsia="仿宋_GB2312" w:cs="仿宋_GB2312"/>
          <w:b/>
          <w:bCs/>
          <w:sz w:val="32"/>
          <w:szCs w:val="32"/>
          <w:lang w:eastAsia="zh-CN"/>
        </w:rPr>
        <w:t>及创新推广贡献</w:t>
      </w:r>
    </w:p>
    <w:p>
      <w:pPr>
        <w:keepNext w:val="0"/>
        <w:keepLines w:val="0"/>
        <w:pageBreakBefore w:val="0"/>
        <w:kinsoku/>
        <w:wordWrap/>
        <w:overflowPunct/>
        <w:topLinePunct w:val="0"/>
        <w:bidi w:val="0"/>
        <w:spacing w:line="560" w:lineRule="exact"/>
        <w:ind w:firstLine="640" w:firstLineChars="200"/>
        <w:outlineLvl w:val="9"/>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lang w:eastAsia="zh-CN"/>
        </w:rPr>
        <w:t>主要完成单位为</w:t>
      </w:r>
      <w:r>
        <w:rPr>
          <w:rFonts w:hint="eastAsia" w:ascii="仿宋_GB2312" w:hAnsi="仿宋_GB2312" w:eastAsia="仿宋_GB2312" w:cs="仿宋_GB2312"/>
          <w:sz w:val="32"/>
          <w:szCs w:val="32"/>
        </w:rPr>
        <w:t>晋城大医院</w:t>
      </w:r>
      <w:r>
        <w:rPr>
          <w:rFonts w:hint="eastAsia" w:ascii="仿宋_GB2312" w:hAnsi="仿宋_GB2312" w:eastAsia="仿宋_GB2312" w:cs="仿宋_GB2312"/>
          <w:sz w:val="32"/>
          <w:szCs w:val="32"/>
          <w:lang w:eastAsia="zh-CN"/>
        </w:rPr>
        <w:t>，晋城大医院前身为晋城煤业集团总医院，作为晋煤集团职业病救治定点救治单位，下属晋城市职业病防治医院长期以来承担着晋煤集团及晋城地区煤工的职业病的预防、诊断及治疗工作，病患众多，长期以来积累了丰富的防治经验。新型定制防护耳塞的应用不仅能保障矿工兄弟的切身利益和身心健康，为企业保护劳动力，提高生产效率，减少事故发生，而且减少噪声引起的疾病治疗的投入，为煤矿井下安全生产、职业病防护做出应有的贡献。</w:t>
      </w:r>
    </w:p>
    <w:p>
      <w:pPr>
        <w:keepNext w:val="0"/>
        <w:keepLines w:val="0"/>
        <w:pageBreakBefore w:val="0"/>
        <w:kinsoku/>
        <w:wordWrap/>
        <w:overflowPunct/>
        <w:topLinePunct w:val="0"/>
        <w:autoSpaceDE/>
        <w:autoSpaceDN/>
        <w:bidi w:val="0"/>
        <w:adjustRightInd/>
        <w:spacing w:line="580" w:lineRule="exact"/>
        <w:ind w:firstLine="321" w:firstLineChars="1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完成人合作关系说明</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该成果为晋城大医院独立单位完成，项目主要完成人员均为晋城大医院职工。</w:t>
      </w:r>
    </w:p>
    <w:p>
      <w:pPr>
        <w:keepNext w:val="0"/>
        <w:keepLines w:val="0"/>
        <w:pageBreakBefore w:val="0"/>
        <w:widowControl/>
        <w:numPr>
          <w:ilvl w:val="0"/>
          <w:numId w:val="2"/>
        </w:numPr>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项目名称</w:t>
      </w:r>
    </w:p>
    <w:p>
      <w:pPr>
        <w:keepNext w:val="0"/>
        <w:keepLines w:val="0"/>
        <w:pageBreakBefore w:val="0"/>
        <w:widowControl/>
        <w:numPr>
          <w:ilvl w:val="0"/>
          <w:numId w:val="0"/>
        </w:numPr>
        <w:kinsoku/>
        <w:wordWrap/>
        <w:overflowPunct/>
        <w:topLinePunct w:val="0"/>
        <w:autoSpaceDE/>
        <w:autoSpaceDN/>
        <w:bidi w:val="0"/>
        <w:adjustRightInd/>
        <w:snapToGrid w:val="0"/>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沁南高煤阶煤层气田低产井区增产关键技术与应用</w:t>
      </w:r>
    </w:p>
    <w:p>
      <w:pPr>
        <w:keepNext w:val="0"/>
        <w:keepLines w:val="0"/>
        <w:pageBreakBefore w:val="0"/>
        <w:kinsoku/>
        <w:wordWrap/>
        <w:overflowPunct/>
        <w:topLinePunct w:val="0"/>
        <w:autoSpaceDE/>
        <w:autoSpaceDN/>
        <w:bidi w:val="0"/>
        <w:adjustRightInd/>
        <w:spacing w:line="580" w:lineRule="exact"/>
        <w:ind w:firstLine="321" w:firstLineChars="1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提名单位</w:t>
      </w:r>
    </w:p>
    <w:p>
      <w:pPr>
        <w:keepNext w:val="0"/>
        <w:keepLines w:val="0"/>
        <w:pageBreakBefore w:val="0"/>
        <w:kinsoku/>
        <w:wordWrap/>
        <w:overflowPunct/>
        <w:topLinePunct w:val="0"/>
        <w:autoSpaceDE/>
        <w:autoSpaceDN/>
        <w:bidi w:val="0"/>
        <w:adjustRightInd/>
        <w:spacing w:line="580" w:lineRule="exact"/>
        <w:ind w:firstLine="640" w:firstLineChars="2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color w:val="000000"/>
          <w:sz w:val="32"/>
          <w:szCs w:val="32"/>
        </w:rPr>
        <w:t>晋城市</w:t>
      </w:r>
    </w:p>
    <w:p>
      <w:pPr>
        <w:keepNext w:val="0"/>
        <w:keepLines w:val="0"/>
        <w:pageBreakBefore w:val="0"/>
        <w:kinsoku/>
        <w:wordWrap/>
        <w:overflowPunct/>
        <w:topLinePunct w:val="0"/>
        <w:autoSpaceDE/>
        <w:autoSpaceDN/>
        <w:bidi w:val="0"/>
        <w:adjustRightInd/>
        <w:spacing w:line="580" w:lineRule="exact"/>
        <w:ind w:firstLine="321" w:firstLineChars="100"/>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提名单位意见</w:t>
      </w:r>
    </w:p>
    <w:p>
      <w:pPr>
        <w:keepNext w:val="0"/>
        <w:keepLines w:val="0"/>
        <w:pageBreakBefore w:val="0"/>
        <w:kinsoku/>
        <w:wordWrap/>
        <w:overflowPunct/>
        <w:topLinePunct w:val="0"/>
        <w:autoSpaceDE/>
        <w:autoSpaceDN/>
        <w:bidi w:val="0"/>
        <w:adjustRightInd/>
        <w:spacing w:line="580" w:lineRule="exact"/>
        <w:ind w:firstLine="640" w:firstLineChars="200"/>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提名参加山西省</w:t>
      </w:r>
      <w:r>
        <w:rPr>
          <w:rFonts w:hint="eastAsia" w:ascii="方正仿宋_GBK" w:hAnsi="方正仿宋_GBK" w:eastAsia="方正仿宋_GBK" w:cs="方正仿宋_GBK"/>
          <w:sz w:val="32"/>
          <w:szCs w:val="32"/>
        </w:rPr>
        <w:t>科技进步</w:t>
      </w:r>
      <w:r>
        <w:rPr>
          <w:rFonts w:hint="eastAsia" w:ascii="方正仿宋_GBK" w:hAnsi="方正仿宋_GBK" w:eastAsia="方正仿宋_GBK" w:cs="方正仿宋_GBK"/>
          <w:sz w:val="32"/>
          <w:szCs w:val="32"/>
          <w:lang w:eastAsia="zh-CN"/>
        </w:rPr>
        <w:t>二</w:t>
      </w:r>
      <w:r>
        <w:rPr>
          <w:rFonts w:hint="eastAsia" w:ascii="方正仿宋_GBK" w:hAnsi="方正仿宋_GBK" w:eastAsia="方正仿宋_GBK" w:cs="方正仿宋_GBK"/>
          <w:sz w:val="32"/>
          <w:szCs w:val="32"/>
        </w:rPr>
        <w:t>等奖</w:t>
      </w:r>
      <w:r>
        <w:rPr>
          <w:rFonts w:hint="eastAsia" w:ascii="方正仿宋_GBK" w:hAnsi="方正仿宋_GBK" w:eastAsia="方正仿宋_GBK" w:cs="方正仿宋_GBK"/>
          <w:color w:val="000000"/>
          <w:sz w:val="32"/>
          <w:szCs w:val="32"/>
        </w:rPr>
        <w:t>评审。</w:t>
      </w:r>
    </w:p>
    <w:p>
      <w:pPr>
        <w:keepNext w:val="0"/>
        <w:keepLines w:val="0"/>
        <w:pageBreakBefore w:val="0"/>
        <w:kinsoku/>
        <w:wordWrap/>
        <w:overflowPunct/>
        <w:topLinePunct w:val="0"/>
        <w:autoSpaceDE/>
        <w:autoSpaceDN/>
        <w:bidi w:val="0"/>
        <w:adjustRightInd/>
        <w:spacing w:line="580" w:lineRule="exact"/>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lang w:eastAsia="zh-CN"/>
        </w:rPr>
        <w:t>　　</w:t>
      </w:r>
      <w:r>
        <w:rPr>
          <w:rFonts w:hint="eastAsia" w:ascii="方正仿宋_GBK" w:hAnsi="方正仿宋_GBK" w:eastAsia="方正仿宋_GBK" w:cs="方正仿宋_GBK"/>
          <w:b/>
          <w:sz w:val="32"/>
          <w:szCs w:val="32"/>
        </w:rPr>
        <w:t>项目简介</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本项目取得的研究成果适用于高煤阶煤层气田低产井区开发领域，也可延伸至其他煤阶的煤层气田推广借鉴。</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1、研究背景：沁水盆地位于山西省境内，主体发育为高煤阶煤层气。山西煤层气分公司在沁水盆地拥有煤层气矿权3277km</w:t>
      </w:r>
      <w:r>
        <w:rPr>
          <w:rFonts w:hint="eastAsia" w:ascii="方正仿宋_GBK" w:hAnsi="方正仿宋_GBK" w:eastAsia="方正仿宋_GBK" w:cs="方正仿宋_GBK"/>
          <w:sz w:val="32"/>
          <w:szCs w:val="32"/>
          <w:vertAlign w:val="superscript"/>
        </w:rPr>
        <w:t>2</w:t>
      </w:r>
      <w:r>
        <w:rPr>
          <w:rFonts w:hint="eastAsia" w:ascii="方正仿宋_GBK" w:hAnsi="方正仿宋_GBK" w:eastAsia="方正仿宋_GBK" w:cs="方正仿宋_GBK"/>
          <w:sz w:val="32"/>
          <w:szCs w:val="32"/>
        </w:rPr>
        <w:t>、资源量约7000亿m</w:t>
      </w:r>
      <w:r>
        <w:rPr>
          <w:rFonts w:hint="eastAsia" w:ascii="方正仿宋_GBK" w:hAnsi="方正仿宋_GBK" w:eastAsia="方正仿宋_GBK" w:cs="方正仿宋_GBK"/>
          <w:sz w:val="32"/>
          <w:szCs w:val="32"/>
          <w:vertAlign w:val="superscript"/>
        </w:rPr>
        <w:t>3</w:t>
      </w:r>
      <w:r>
        <w:rPr>
          <w:rFonts w:hint="eastAsia" w:ascii="方正仿宋_GBK" w:hAnsi="方正仿宋_GBK" w:eastAsia="方正仿宋_GBK" w:cs="方正仿宋_GBK"/>
          <w:sz w:val="32"/>
          <w:szCs w:val="32"/>
        </w:rPr>
        <w:t>，其中樊庄-郑庄区块是我国高煤阶煤层气地面规模开发最早的区块之一。该区块自2006年规模开发，截止2015年底，累计投产井2600余口，日产气量230万方，采出程度8%-20%，低产井占比达50%，总体表现为低产低效。分析认为低产主因是产能建设过程中，基础研究认识不足，导致井位部署、储层改造、排采管控等关键环节批量化复制，开发技术不适应于具体的煤层气地质特征，严重制约了开发效果提升。要实现已开发区煤层气资源高效动用，面临着两方面的难题：一是缺乏低产区“井间剩余资源”动用技术；二是缺乏“低产、低效井”增产技术。为挖掘煤层气资源潜力，提高低产井区单井产量和开发效益，树立行业高效开发典范，急需研发一套高煤阶煤层气田低产井区增产关键技术。</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主要研究内容：针对开发难题，采取“产、学、研、用”一体化联合攻关，本项目创新提出“多级缝网联动”设计理念和“堵老缝、造新缝、扩缝网”二次增产理念，研发形成了基于“井丛设计+天然割理裂缝+体积缝网”的高煤阶煤层气缝网联动低产井区改造技术、基于“钻前采用‘地质信息、测井、岩心分析’预测、随钻采用‘轨迹导向、综合录井’精准判识”的水平井钻井技术、“泡沫洗井”井筒固体堵塞物解除的工艺技术、“氮气增渗”水平井增产技术、“筛管水平井大排量投球压裂”技术、“人工裂缝封堵+大排量压裂+自悬浮支撑”的直井压裂技术、“构造裂缝封堵转向”增产技术等7项关键技术，实现单井产量和措施效率大幅提升，低产井区采气速度大幅提高。</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技术经济指标：本项目取得7项技术成果，实现低产井区采气速度由0.8-1.0%提高至目前的3-4%，预测最终采收率提高15-20%。水平井产量大幅提升，直井增量提高2倍以上。通过与国内外主要技术指标和经济指标对比，总体达到国际先进水平，部分技术达到国际领先水平。</w:t>
      </w:r>
    </w:p>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客观评价</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sz w:val="32"/>
          <w:szCs w:val="32"/>
        </w:rPr>
        <w:t>经国家一级查新机构查新，创新成果在国内外文献中未见相同报道。经煤层气知名专家鉴定，项目研究成果整体技术达到国际先进水平，其中基于“井丛设计+天然割理裂缝+体积缝网”的高煤阶煤层气缝网联动低产井区改造技术处于国际领先水平。</w:t>
      </w:r>
    </w:p>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推广应用情况</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该成果在2017年到2022年，规模应用于樊庄-郑庄区块的4个开发调整方案及低产井改造工程，其中在低产井区新钻水平井353口，改造低产井327口。截止2022年底，增产煤层气7.4亿m³，创利润9.62亿元。技术成果可复制、可推广，已应用于沁水盆地煤层气田开发过程中，下步可推广至全国已开发区块。</w:t>
      </w:r>
    </w:p>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主要知识产权证明目录</w:t>
      </w:r>
    </w:p>
    <w:tbl>
      <w:tblPr>
        <w:tblStyle w:val="8"/>
        <w:tblW w:w="5397" w:type="pct"/>
        <w:jc w:val="center"/>
        <w:tblLayout w:type="fixed"/>
        <w:tblCellMar>
          <w:top w:w="0" w:type="dxa"/>
          <w:left w:w="108" w:type="dxa"/>
          <w:bottom w:w="0" w:type="dxa"/>
          <w:right w:w="108" w:type="dxa"/>
        </w:tblCellMar>
      </w:tblPr>
      <w:tblGrid>
        <w:gridCol w:w="850"/>
        <w:gridCol w:w="2811"/>
        <w:gridCol w:w="1063"/>
        <w:gridCol w:w="1025"/>
        <w:gridCol w:w="2062"/>
        <w:gridCol w:w="1189"/>
        <w:gridCol w:w="561"/>
      </w:tblGrid>
      <w:tr>
        <w:tblPrEx>
          <w:tblCellMar>
            <w:top w:w="0" w:type="dxa"/>
            <w:left w:w="108" w:type="dxa"/>
            <w:bottom w:w="0" w:type="dxa"/>
            <w:right w:w="108" w:type="dxa"/>
          </w:tblCellMar>
        </w:tblPrEx>
        <w:trPr>
          <w:trHeight w:val="480" w:hRule="atLeast"/>
          <w:jc w:val="center"/>
        </w:trPr>
        <w:tc>
          <w:tcPr>
            <w:tcW w:w="444" w:type="pct"/>
            <w:tcBorders>
              <w:top w:val="single" w:color="auto" w:sz="4" w:space="0"/>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知识产权类别</w:t>
            </w:r>
          </w:p>
        </w:tc>
        <w:tc>
          <w:tcPr>
            <w:tcW w:w="1470"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知识产权名称</w:t>
            </w:r>
          </w:p>
        </w:tc>
        <w:tc>
          <w:tcPr>
            <w:tcW w:w="555"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授权号</w:t>
            </w:r>
          </w:p>
        </w:tc>
        <w:tc>
          <w:tcPr>
            <w:tcW w:w="536"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专利授权</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日期</w:t>
            </w:r>
          </w:p>
        </w:tc>
        <w:tc>
          <w:tcPr>
            <w:tcW w:w="1078"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权利人</w:t>
            </w:r>
          </w:p>
        </w:tc>
        <w:tc>
          <w:tcPr>
            <w:tcW w:w="621"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专利人</w:t>
            </w:r>
          </w:p>
        </w:tc>
        <w:tc>
          <w:tcPr>
            <w:tcW w:w="293" w:type="pct"/>
            <w:tcBorders>
              <w:top w:val="single" w:color="auto" w:sz="4" w:space="0"/>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有效</w:t>
            </w:r>
          </w:p>
          <w:p>
            <w:pPr>
              <w:widowControl/>
              <w:jc w:val="center"/>
              <w:rPr>
                <w:rFonts w:ascii="宋体" w:hAnsi="宋体" w:cs="宋体"/>
                <w:color w:val="000000"/>
                <w:kern w:val="0"/>
                <w:sz w:val="18"/>
                <w:szCs w:val="18"/>
              </w:rPr>
            </w:pPr>
            <w:r>
              <w:rPr>
                <w:rFonts w:hint="eastAsia" w:ascii="宋体" w:hAnsi="宋体" w:cs="宋体"/>
                <w:color w:val="000000"/>
                <w:kern w:val="0"/>
                <w:sz w:val="18"/>
                <w:szCs w:val="18"/>
              </w:rPr>
              <w:t>状态</w:t>
            </w:r>
          </w:p>
        </w:tc>
      </w:tr>
      <w:tr>
        <w:tblPrEx>
          <w:tblCellMar>
            <w:top w:w="0" w:type="dxa"/>
            <w:left w:w="108" w:type="dxa"/>
            <w:bottom w:w="0" w:type="dxa"/>
            <w:right w:w="108" w:type="dxa"/>
          </w:tblCellMar>
        </w:tblPrEx>
        <w:trPr>
          <w:trHeight w:val="288"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煤层气水平井的支撑方法及装置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0030060.0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2023.6.30</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张聪；张建国；胡秋嘉等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一种煤层气井的二次压裂方法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2017 1 0548135.5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2021.7.30</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胡秋嘉；乔茂坡；毛崇昊等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煤层气井网的调整方法、装置及计算机可读存储介质</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2020 1 0544210.2</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2023.8.22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张建国；张聪；崔新瑞等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利用氮气泡沫压裂液对煤层气藏进行压裂的方法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1307463.1</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2022.3.29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刘红军；董燕；张聪等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288"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利用氮气泡沫洗井液冲洗煤层气井中粉煤灰的系统及方法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1005507.5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2021.8.31</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刘红军；张全江；井岗等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一种钻井过程煤储层污染程度测试用模拟装置及方法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2016 1 0906370.0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2018.6.19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河南理工大学</w:t>
            </w:r>
          </w:p>
        </w:tc>
        <w:tc>
          <w:tcPr>
            <w:tcW w:w="621"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倪小明；赵永超；吕闰生等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模拟煤层压裂作用排采煤粉变化监测装置及其实验方法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2016 1 0893164.0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2022.2.8</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河南理工大学</w:t>
            </w:r>
          </w:p>
        </w:tc>
        <w:tc>
          <w:tcPr>
            <w:tcW w:w="621"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倪小明；</w:t>
            </w:r>
            <w:r>
              <w:rPr>
                <w:rFonts w:ascii="等线" w:hAnsi="等线" w:cs="Calibri"/>
                <w:color w:val="000000"/>
                <w:kern w:val="0"/>
                <w:szCs w:val="21"/>
              </w:rPr>
              <w:t>李志恒；</w:t>
            </w:r>
            <w:r>
              <w:rPr>
                <w:rFonts w:hint="eastAsia" w:ascii="宋体" w:hAnsi="宋体" w:cs="宋体"/>
                <w:color w:val="000000"/>
                <w:kern w:val="0"/>
                <w:sz w:val="18"/>
                <w:szCs w:val="18"/>
              </w:rPr>
              <w:t>吕闰生等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对煤层气井近井污染地带进行清洗的作业装置与方法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1376593.0</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2022.3.22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刘红军；董燕；崔斌等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一种基于逻辑回归的自动岩性定名方法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ZL 2019 1 0637894.8</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2022.4.12</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中国石油集团渤海钻探工程有限公司；中国石油天然气集团有限公司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郭素杰；姜维寨；黎铖等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基于Bayes判别分析及逻辑回归的油气层解释方法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1 0512813.1</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2021.11.23</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中国石油集团渤海钻探工程有限公司；中国石油天然气集团有限公司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郭素杰；姜维寨；黎铖等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发明专利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一种煤层气井排采速度的确定方法</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2018 1 0398314.X</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2023.4.25</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李俊；胡秋嘉；刘忠等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72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实用新型专利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水平井的完井装置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2020 2 2810589.5</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hint="eastAsia" w:ascii="宋体" w:hAnsi="宋体" w:cs="宋体"/>
                <w:color w:val="000000"/>
                <w:kern w:val="0"/>
                <w:sz w:val="18"/>
                <w:szCs w:val="18"/>
              </w:rPr>
            </w:pPr>
            <w:r>
              <w:rPr>
                <w:rFonts w:hint="eastAsia" w:ascii="宋体" w:hAnsi="宋体" w:cs="宋体"/>
                <w:color w:val="000000"/>
                <w:kern w:val="0"/>
                <w:sz w:val="18"/>
                <w:szCs w:val="18"/>
              </w:rPr>
              <w:t>2021.9.28</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中国石油天然气股份有限公司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周立春；张建国；张聪等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r>
        <w:tblPrEx>
          <w:tblCellMar>
            <w:top w:w="0" w:type="dxa"/>
            <w:left w:w="108" w:type="dxa"/>
            <w:bottom w:w="0" w:type="dxa"/>
            <w:right w:w="108" w:type="dxa"/>
          </w:tblCellMar>
        </w:tblPrEx>
        <w:trPr>
          <w:trHeight w:val="480" w:hRule="atLeast"/>
          <w:jc w:val="center"/>
        </w:trPr>
        <w:tc>
          <w:tcPr>
            <w:tcW w:w="444" w:type="pct"/>
            <w:tcBorders>
              <w:top w:val="nil"/>
              <w:left w:val="single" w:color="auto" w:sz="4" w:space="0"/>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实用新型专利</w:t>
            </w:r>
          </w:p>
        </w:tc>
        <w:tc>
          <w:tcPr>
            <w:tcW w:w="1470"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一种新型泡沫压裂液携砂施工装置</w:t>
            </w:r>
          </w:p>
        </w:tc>
        <w:tc>
          <w:tcPr>
            <w:tcW w:w="555"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ZL 2019 2 1899588.3</w:t>
            </w:r>
          </w:p>
        </w:tc>
        <w:tc>
          <w:tcPr>
            <w:tcW w:w="536"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2020.6.19</w:t>
            </w:r>
          </w:p>
        </w:tc>
        <w:tc>
          <w:tcPr>
            <w:tcW w:w="1078" w:type="pct"/>
            <w:tcBorders>
              <w:top w:val="nil"/>
              <w:left w:val="nil"/>
              <w:bottom w:val="single" w:color="auto" w:sz="4" w:space="0"/>
              <w:right w:val="single" w:color="auto" w:sz="4" w:space="0"/>
            </w:tcBorders>
            <w:noWrap w:val="0"/>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东营汇聚丰石油科技有限公司</w:t>
            </w:r>
          </w:p>
        </w:tc>
        <w:tc>
          <w:tcPr>
            <w:tcW w:w="621"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刘红军、卢武忠、王庆等</w:t>
            </w:r>
          </w:p>
        </w:tc>
        <w:tc>
          <w:tcPr>
            <w:tcW w:w="293" w:type="pct"/>
            <w:tcBorders>
              <w:top w:val="nil"/>
              <w:left w:val="nil"/>
              <w:bottom w:val="single" w:color="auto" w:sz="4" w:space="0"/>
              <w:right w:val="single" w:color="auto" w:sz="4" w:space="0"/>
            </w:tcBorders>
            <w:noWrap/>
            <w:tcMar>
              <w:left w:w="6" w:type="dxa"/>
              <w:right w:w="6" w:type="dxa"/>
            </w:tcMar>
            <w:vAlign w:val="center"/>
          </w:tcPr>
          <w:p>
            <w:pPr>
              <w:widowControl/>
              <w:jc w:val="center"/>
              <w:rPr>
                <w:rFonts w:ascii="宋体" w:hAnsi="宋体" w:cs="宋体"/>
                <w:color w:val="000000"/>
                <w:kern w:val="0"/>
                <w:sz w:val="18"/>
                <w:szCs w:val="18"/>
              </w:rPr>
            </w:pPr>
            <w:r>
              <w:rPr>
                <w:rFonts w:hint="eastAsia" w:ascii="宋体" w:hAnsi="宋体" w:cs="宋体"/>
                <w:color w:val="000000"/>
                <w:kern w:val="0"/>
                <w:sz w:val="18"/>
                <w:szCs w:val="18"/>
              </w:rPr>
              <w:t>有效</w:t>
            </w:r>
          </w:p>
        </w:tc>
      </w:tr>
    </w:tbl>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主要完成人情况</w:t>
      </w:r>
    </w:p>
    <w:p>
      <w:pPr>
        <w:pStyle w:val="2"/>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sz w:val="32"/>
          <w:szCs w:val="32"/>
          <w:lang w:eastAsia="zh-CN"/>
        </w:rPr>
        <w:t>　　</w:t>
      </w:r>
      <w:r>
        <w:rPr>
          <w:rFonts w:hint="eastAsia" w:ascii="方正仿宋_GBK" w:hAnsi="方正仿宋_GBK" w:eastAsia="方正仿宋_GBK" w:cs="方正仿宋_GBK"/>
          <w:sz w:val="32"/>
          <w:szCs w:val="32"/>
        </w:rPr>
        <w:t>胡秋嘉、张聪、刘春春、乔茂坡、倪小明、吴定泉、贾慧敏、张武昌</w:t>
      </w:r>
    </w:p>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主要完成单位及创新推广贡献</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简体" w:eastAsia="方正仿宋简体"/>
          <w:sz w:val="32"/>
          <w:szCs w:val="32"/>
        </w:rPr>
      </w:pPr>
      <w:r>
        <w:rPr>
          <w:rFonts w:hint="eastAsia" w:ascii="方正仿宋简体" w:eastAsia="方正仿宋简体"/>
          <w:sz w:val="32"/>
          <w:szCs w:val="32"/>
        </w:rPr>
        <w:t>本项目主要完成单位为中国石油天然气股份有限公司山西煤层气勘探开发分公司、河南理工大学、东营汇聚丰石油科技有限公司、中国石油集团渤海钻探工程有限公司第二录井分公司。</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中国石油天然气股份有限公司山西煤层气勘探开发分公司作为项目牵头单位，对项目的技术思路、主要研究内容、成果转化和成果推广应用全面负责。在创新低产区井间剩余资源动用技术方面，提出“多级缝网联动”设计理念，研发了基于“井丛设计+天然割理裂缝+体积缝网”的高煤阶煤层气缝网联动低产井区改造技术、基于“钻前采用‘地质信息、测井、岩心分析’预测、随钻采用‘轨迹导向、综合录井’精准判识”的水平井钻井技术，实现低产井区采气速度大幅提高；在低产水平井增产技术方面，研发了大排量投球压裂增产技术，与东营汇聚丰石油科技有限公司共同研发“氮气增渗”技术和“泡沫洗井”工艺，构建有效渗流通道，实现水平井产量大幅提升；在低产直井增产技术方面，创新提出“堵老缝、造新缝、扩缝网”二次增产理念，在此基础上，研发“人工裂缝封堵+大排量压裂+自悬浮支撑”的直井压裂技术、“构造裂缝封堵转向”增产技术，实现直井增量提高2倍以上；组织规模推广应用，研究成果规模应用于樊庄-郑庄区块的4个开发调整方案及低产井改造工程，支撑老气田产量持续上升。</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河南理工大学主要在煤层气水平井增产技术方面，针对储层污染严重导致的低产水平井，创新建立钻井过程中煤储层污染测试评价方法，实现了水平井钻井污染定性评价，支撑了“大排量投球压裂”增产技术的创新和现场应用； 研发模拟煤层压裂作用排采煤粉变化监测装置，对生产水平井进行煤粉模拟，指导现场氮气洗井选井工作，提高了选井针对性和现场应用成效；对煤层气低产井原因进行了机理剖析，指导现场低产井治理工作。</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东营汇聚丰石油科技有限公司主要研发利用氮气泡沫压裂液对煤层气藏进行压裂的方法，与中国石油天然气股份有限公司山西煤层气勘探开发分公司共同创新形成了“氮气增渗”增产技术；研发利用氮气泡沫洗井液冲洗煤层气井中粉煤灰的系统、对煤层气井近井污染地带进行清洗的作业装置等，创新形成捞砂效率高、洗井液滤失少、携灰能力强的“泡沫洗井”工艺，提高了水平井稳产能力。</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hint="eastAsia" w:ascii="方正仿宋简体" w:eastAsia="方正仿宋简体"/>
          <w:sz w:val="32"/>
          <w:szCs w:val="32"/>
        </w:rPr>
      </w:pPr>
      <w:r>
        <w:rPr>
          <w:rFonts w:hint="eastAsia" w:ascii="方正仿宋简体" w:eastAsia="方正仿宋简体"/>
          <w:sz w:val="32"/>
          <w:szCs w:val="32"/>
        </w:rPr>
        <w:t>中国石油集团渤海钻探工程有限公司第二录井分公司主要针对高煤阶煤储层非均质性强、纵向差异大、以往微幅褶曲构造发育区高效率钻遇优质煤层难的问题，发明了“油气层解释方法”、“自动岩性定名方法”，实现地层资料的精确录取判识；支撑了“储层预测—定导一体化”精细导向技术的研发，实现了优质煤层高效钻井。</w:t>
      </w:r>
    </w:p>
    <w:p>
      <w:pPr>
        <w:keepNext w:val="0"/>
        <w:keepLines w:val="0"/>
        <w:pageBreakBefore w:val="0"/>
        <w:widowControl/>
        <w:kinsoku/>
        <w:wordWrap/>
        <w:overflowPunct/>
        <w:topLinePunct w:val="0"/>
        <w:autoSpaceDE/>
        <w:autoSpaceDN/>
        <w:bidi w:val="0"/>
        <w:adjustRightInd/>
        <w:snapToGrid w:val="0"/>
        <w:spacing w:line="580" w:lineRule="exact"/>
        <w:ind w:firstLine="642" w:firstLineChars="200"/>
        <w:textAlignment w:val="auto"/>
        <w:rPr>
          <w:rFonts w:hint="eastAsia" w:ascii="方正仿宋_GBK" w:hAnsi="方正仿宋_GBK" w:eastAsia="方正仿宋_GBK" w:cs="方正仿宋_GBK"/>
          <w:b/>
          <w:kern w:val="0"/>
          <w:sz w:val="32"/>
          <w:szCs w:val="32"/>
        </w:rPr>
      </w:pPr>
      <w:r>
        <w:rPr>
          <w:rFonts w:hint="eastAsia" w:ascii="方正仿宋_GBK" w:hAnsi="方正仿宋_GBK" w:eastAsia="方正仿宋_GBK" w:cs="方正仿宋_GBK"/>
          <w:b/>
          <w:kern w:val="0"/>
          <w:sz w:val="32"/>
          <w:szCs w:val="32"/>
        </w:rPr>
        <w:t>完成人合作关系说明</w:t>
      </w:r>
    </w:p>
    <w:p>
      <w:pPr>
        <w:keepNext w:val="0"/>
        <w:keepLines w:val="0"/>
        <w:pageBreakBefore w:val="0"/>
        <w:kinsoku/>
        <w:wordWrap/>
        <w:overflowPunct/>
        <w:topLinePunct w:val="0"/>
        <w:autoSpaceDE/>
        <w:autoSpaceDN/>
        <w:bidi w:val="0"/>
        <w:adjustRightInd/>
        <w:snapToGrid w:val="0"/>
        <w:spacing w:line="580" w:lineRule="exact"/>
        <w:ind w:firstLine="640" w:firstLineChars="200"/>
        <w:textAlignment w:val="auto"/>
        <w:rPr>
          <w:rFonts w:ascii="方正仿宋简体" w:eastAsia="方正仿宋简体"/>
          <w:sz w:val="32"/>
          <w:szCs w:val="32"/>
        </w:rPr>
      </w:pPr>
      <w:r>
        <w:rPr>
          <w:rFonts w:hint="eastAsia" w:ascii="方正仿宋简体" w:eastAsia="方正仿宋简体"/>
          <w:sz w:val="32"/>
          <w:szCs w:val="32"/>
        </w:rPr>
        <w:t>申报山西省科技进步奖的《沁南高煤阶煤层气田低产井区增产关键技术与应用》由胡秋嘉负责，与张聪、刘春春、乔茂坡、倪小明、吴定泉、贾慧敏、张武昌等共同组建了联合攻关团队。</w:t>
      </w:r>
    </w:p>
    <w:p>
      <w:pPr>
        <w:keepNext w:val="0"/>
        <w:keepLines w:val="0"/>
        <w:pageBreakBefore w:val="0"/>
        <w:kinsoku/>
        <w:wordWrap/>
        <w:overflowPunct/>
        <w:topLinePunct w:val="0"/>
        <w:autoSpaceDE/>
        <w:autoSpaceDN/>
        <w:bidi w:val="0"/>
        <w:adjustRightInd/>
        <w:snapToGrid w:val="0"/>
        <w:spacing w:line="580" w:lineRule="exact"/>
        <w:textAlignment w:val="auto"/>
      </w:pPr>
      <w:r>
        <w:rPr>
          <w:rFonts w:hint="eastAsia" w:ascii="方正仿宋简体" w:eastAsia="方正仿宋简体"/>
          <w:sz w:val="32"/>
          <w:szCs w:val="32"/>
        </w:rPr>
        <w:t>胡秋嘉：创新提出“井丛设计+天然割理裂缝+体积缝网”改造技术，创新“堵老缝、造新缝、扩缝网”二次增产理念。张聪：研发“低成本、可控制、高效率”L型水平井，配套“随钻储层预测—定导一体化”精细导向技术，研发水平井增产技术。刘春春：创新“钻前采用‘地质信息、测井、岩心分析’预测、随钻采用‘轨迹导向、综合录井’精准判识”的优质煤层预测方法；指导形成“定向射孔”增产改造技术。乔茂坡：创新提出“多级缝网联动”设计理念，形成“氮气增渗”工艺。倪小明：创新建立钻井过程中煤储层污染测试评价方法；研发模拟煤层压裂作用排采煤粉变化监测装置。吴定泉：创新形成“构造裂缝封堵转向”技术。贾慧敏：创新形成“人工裂缝封堵+大排量压裂+自悬浮支撑”增产技术。张武昌：差异化井轨迹、井距设计，精细井位设计优化，实现平面上最大控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0" w:firstLineChars="200"/>
        <w:jc w:val="both"/>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kern w:val="0"/>
          <w:sz w:val="32"/>
          <w:szCs w:val="32"/>
          <w:lang w:val="en-US" w:eastAsia="zh-CN" w:bidi="ar"/>
        </w:rPr>
        <w:t>二、企业技术创新奖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2"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企业名称</w:t>
      </w:r>
    </w:p>
    <w:p>
      <w:pPr>
        <w:keepNext w:val="0"/>
        <w:keepLines w:val="0"/>
        <w:pageBreakBefore w:val="0"/>
        <w:kinsoku/>
        <w:wordWrap/>
        <w:overflowPunct/>
        <w:topLinePunct w:val="0"/>
        <w:autoSpaceDE/>
        <w:autoSpaceDN/>
        <w:bidi w:val="0"/>
        <w:adjustRightInd/>
        <w:snapToGrid w:val="0"/>
        <w:spacing w:line="580" w:lineRule="exac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晋城源通饲料股份有限公司</w:t>
      </w:r>
    </w:p>
    <w:p>
      <w:pPr>
        <w:keepNext w:val="0"/>
        <w:keepLines w:val="0"/>
        <w:pageBreakBefore w:val="0"/>
        <w:kinsoku/>
        <w:wordWrap/>
        <w:overflowPunct/>
        <w:topLinePunct w:val="0"/>
        <w:autoSpaceDE/>
        <w:autoSpaceDN/>
        <w:bidi w:val="0"/>
        <w:adjustRightInd/>
        <w:snapToGrid/>
        <w:spacing w:line="580" w:lineRule="exact"/>
        <w:ind w:leftChars="0" w:firstLine="642" w:firstLineChars="200"/>
        <w:jc w:val="both"/>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提名单位</w:t>
      </w:r>
    </w:p>
    <w:p>
      <w:pPr>
        <w:keepNext w:val="0"/>
        <w:keepLines w:val="0"/>
        <w:pageBreakBefore w:val="0"/>
        <w:kinsoku/>
        <w:wordWrap/>
        <w:overflowPunct/>
        <w:topLinePunct w:val="0"/>
        <w:autoSpaceDE/>
        <w:autoSpaceDN/>
        <w:bidi w:val="0"/>
        <w:adjustRightInd/>
        <w:snapToGrid/>
        <w:spacing w:line="580" w:lineRule="exact"/>
        <w:ind w:leftChars="0" w:firstLine="640" w:firstLineChars="200"/>
        <w:jc w:val="both"/>
        <w:textAlignment w:val="auto"/>
        <w:outlineLvl w:val="9"/>
        <w:rPr>
          <w:rFonts w:hint="eastAsia" w:ascii="方正仿宋_GBK" w:hAnsi="方正仿宋_GBK" w:eastAsia="方正仿宋_GBK" w:cs="方正仿宋_GBK"/>
          <w:sz w:val="32"/>
          <w:szCs w:val="32"/>
        </w:rPr>
      </w:pPr>
      <w:r>
        <w:rPr>
          <w:rFonts w:hint="eastAsia" w:ascii="方正仿宋_GBK" w:hAnsi="方正仿宋_GBK" w:eastAsia="方正仿宋_GBK" w:cs="方正仿宋_GBK"/>
          <w:color w:val="000000"/>
          <w:sz w:val="32"/>
          <w:szCs w:val="32"/>
        </w:rPr>
        <w:t>晋城市</w:t>
      </w:r>
    </w:p>
    <w:p>
      <w:pPr>
        <w:keepNext w:val="0"/>
        <w:keepLines w:val="0"/>
        <w:pageBreakBefore w:val="0"/>
        <w:kinsoku/>
        <w:wordWrap/>
        <w:overflowPunct/>
        <w:topLinePunct w:val="0"/>
        <w:autoSpaceDE/>
        <w:autoSpaceDN/>
        <w:bidi w:val="0"/>
        <w:adjustRightInd/>
        <w:snapToGrid/>
        <w:spacing w:line="580" w:lineRule="exact"/>
        <w:ind w:leftChars="0" w:firstLine="642" w:firstLineChars="200"/>
        <w:jc w:val="both"/>
        <w:textAlignment w:val="auto"/>
        <w:outlineLvl w:val="9"/>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提名单位意见</w:t>
      </w:r>
    </w:p>
    <w:p>
      <w:pPr>
        <w:keepNext w:val="0"/>
        <w:keepLines w:val="0"/>
        <w:pageBreakBefore w:val="0"/>
        <w:kinsoku/>
        <w:wordWrap/>
        <w:overflowPunct/>
        <w:topLinePunct w:val="0"/>
        <w:autoSpaceDE/>
        <w:autoSpaceDN/>
        <w:bidi w:val="0"/>
        <w:adjustRightInd/>
        <w:snapToGrid/>
        <w:spacing w:line="580" w:lineRule="exact"/>
        <w:ind w:leftChars="0" w:firstLine="640" w:firstLineChars="200"/>
        <w:jc w:val="both"/>
        <w:textAlignment w:val="auto"/>
        <w:outlineLvl w:val="9"/>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提名参加山西省</w:t>
      </w:r>
      <w:r>
        <w:rPr>
          <w:rFonts w:hint="eastAsia" w:ascii="方正仿宋_GBK" w:hAnsi="方正仿宋_GBK" w:eastAsia="方正仿宋_GBK" w:cs="方正仿宋_GBK"/>
          <w:color w:val="000000"/>
          <w:sz w:val="32"/>
          <w:szCs w:val="32"/>
          <w:lang w:val="en-US" w:eastAsia="zh-CN"/>
        </w:rPr>
        <w:t>企业技术创新奖</w:t>
      </w:r>
      <w:r>
        <w:rPr>
          <w:rFonts w:hint="eastAsia" w:ascii="方正仿宋_GBK" w:hAnsi="方正仿宋_GBK" w:eastAsia="方正仿宋_GBK" w:cs="方正仿宋_GBK"/>
          <w:color w:val="000000"/>
          <w:sz w:val="32"/>
          <w:szCs w:val="32"/>
        </w:rPr>
        <w:t>评审。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2"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企业简介</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晋城源通饲料股份有限公司原名沁水源通饲料公司，位于晋城市沁水县龙港镇辛家河村。成立于2002年，2019年经股改变更为晋城源通饲料股份有限公司，是一家集饲料生产、技术服务、原料贸易为一体的省级农业产业化龙头企业，同时也是晋城市唯一一家集浓缩饲料、配合饲料、预混合饲料生产为一体的饲料生产企业。</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现有职工36人，其中专业技术人员15名，技术力量雄厚，拥有完整的饲料产品质量检测体系，拥有四条先进的原料膨化、浓缩料生产、颗粒料生产、预混合饲料生产线。管理机构健全。公司占地面积8087平方米，总资产5589余万元（其中固定资产2335万元），2022年完成销售收入4862万元，利润159万元，上交所得税15万元。</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公司产品主要销售区域在晋城市周边地区，主要长治市、晋城市、临汾市、运城市等地。主要品种为蛋鸡、猪全价配合饲料、浓缩饲料、预混合饲料等。</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    公司成立20余年来，我们始终坚持“质量、诚信求生存，创新、效益求发展”为企业宗旨；以“做强、做精、永不止步”为企业理念；培育人才，强化管理，优化服务，注重品牌，多次受到省、市、县各级政府和主管部门表彰。荣获山西省著名商标、山西省质量信誉AAA级企业、山西省农业产业化龙头企业、创新型中小企业、省级专精特新、省级高新技术企业等荣誉称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80" w:lineRule="exact"/>
        <w:ind w:leftChars="0" w:firstLine="642" w:firstLineChars="200"/>
        <w:jc w:val="both"/>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企业创新发展情况及推广应用情况</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晋城源通饲料公司在关键技术上的突破主要依靠以下途径：</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1、通过参加行业高端论坛，听取专家或行业翘楚的报告，汲取精华，变成自己的技术指导思想，在实践中检验，经过多次反复实验成功的，形成产品，推动产品的迭代升级、提高产品的市场竞争力。</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2、派专业技术人员深入养猪场，听取养殖户对公司产品的反馈，保留成功的部分，改进有缺陷的地方，通过一点一滴的进步，形成比较完美的产品。</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3、通过实地深入养殖场，了解养殖户在养殖过程中遇到的各种诉求，发现新的机遇，通过公司研发中心上报公司领导，确立项目，成立项目研究小组，攻关科研难题，通过理论探索和试验相结合的方法，形成新产品。</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公司的人才引进机制主要是和中国饲料研究所、山西农业大学等科研院所，建立产学研基地，来进行系列的科研创新活动。聘请行业有影响的专家来公司指导工作。形成创新机制。</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我公司通过系列科研创新活动，近三年来取得了很大的成绩。主要有以下方面：</w:t>
      </w:r>
    </w:p>
    <w:p>
      <w:pPr>
        <w:keepNext w:val="0"/>
        <w:keepLines w:val="0"/>
        <w:pageBreakBefore w:val="0"/>
        <w:kinsoku/>
        <w:wordWrap/>
        <w:overflowPunct/>
        <w:topLinePunct w:val="0"/>
        <w:autoSpaceDE/>
        <w:autoSpaceDN/>
        <w:bidi w:val="0"/>
        <w:adjustRightInd/>
        <w:spacing w:line="58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　　</w:t>
      </w:r>
      <w:r>
        <w:rPr>
          <w:rFonts w:hint="eastAsia" w:ascii="方正仿宋_GBK" w:hAnsi="方正仿宋_GBK" w:eastAsia="方正仿宋_GBK" w:cs="方正仿宋_GBK"/>
          <w:sz w:val="32"/>
          <w:szCs w:val="32"/>
        </w:rPr>
        <w:t>1、2020年7月1日响应农业农村部194号公告，公司所用饲料产品，成功进行抗生素添加剂的替代工作，替代效果确切，实现了平稳过渡。没有出现大面积的乳仔猪腹泻等情况。</w:t>
      </w:r>
    </w:p>
    <w:p>
      <w:pPr>
        <w:keepNext w:val="0"/>
        <w:keepLines w:val="0"/>
        <w:pageBreakBefore w:val="0"/>
        <w:kinsoku/>
        <w:wordWrap/>
        <w:overflowPunct/>
        <w:topLinePunct w:val="0"/>
        <w:autoSpaceDE/>
        <w:autoSpaceDN/>
        <w:bidi w:val="0"/>
        <w:adjustRightInd/>
        <w:spacing w:line="580" w:lineRule="exact"/>
        <w:ind w:firstLine="640" w:firstLineChars="200"/>
        <w:textAlignment w:val="auto"/>
        <w:rPr>
          <w:rFonts w:hint="eastAsia" w:ascii="方正仿宋_GBK" w:hAnsi="方正仿宋_GBK" w:eastAsia="方正仿宋_GBK" w:cs="方正仿宋_GBK"/>
          <w:sz w:val="32"/>
          <w:szCs w:val="32"/>
          <w:lang w:val="en-US" w:eastAsia="zh-CN"/>
        </w:rPr>
      </w:pPr>
      <w:r>
        <w:rPr>
          <w:rFonts w:hint="default" w:ascii="方正仿宋_GBK" w:hAnsi="方正仿宋_GBK" w:eastAsia="方正仿宋_GBK" w:cs="方正仿宋_GBK"/>
          <w:sz w:val="32"/>
          <w:szCs w:val="32"/>
          <w:lang w:val="en"/>
        </w:rPr>
        <w:t>2</w:t>
      </w:r>
      <w:r>
        <w:rPr>
          <w:rFonts w:hint="eastAsia" w:ascii="方正仿宋_GBK" w:hAnsi="方正仿宋_GBK" w:eastAsia="方正仿宋_GBK" w:cs="方正仿宋_GBK"/>
          <w:sz w:val="32"/>
          <w:szCs w:val="32"/>
          <w:lang w:val="en" w:eastAsia="zh-CN"/>
        </w:rPr>
        <w:t>、</w:t>
      </w:r>
      <w:r>
        <w:rPr>
          <w:rFonts w:hint="eastAsia" w:ascii="方正仿宋_GBK" w:hAnsi="方正仿宋_GBK" w:eastAsia="方正仿宋_GBK" w:cs="方正仿宋_GBK"/>
          <w:sz w:val="32"/>
          <w:szCs w:val="32"/>
        </w:rPr>
        <w:t>通过科研创新活动，升级了公司的系列产品，形成了高档教槽料、高档保育料、高档母猪料等系列有竞争力的产品。客户反映使用公司产品后，乳仔猪成活率大幅提高，达到99%以上。母猪产仔数量多，健仔率高，母猪奶水好、仔猪断奶日龄早，断奶体重大。每头母猪年多提供断奶仔猪2头以上。使用公司育肥猪饲料的养殖户，反映使用公司产品后，生长速度快，料肉比低，每出栏一头肥猪节省饲料35斤左右，多产生50元/头的经济效益。公司系列高端产品，提升了养殖户的养殖水平和经济效益。同时公司的系列产品使用微生态发酵饲料技术。提高了饲料的消化吸收率，公司开发的低蛋白育肥猪系列饲料，采用了氨基酸平衡日粮技术，降低了育肥猪的氮磷排放，减少了环境污染。对我省绿水蓝天工程做出了积极的贡献！</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line="520" w:lineRule="exact"/>
        <w:ind w:left="0" w:leftChars="0"/>
        <w:jc w:val="left"/>
        <w:textAlignment w:val="auto"/>
        <w:rPr>
          <w:rFonts w:hint="eastAsia" w:ascii="方正仿宋_GBK" w:hAnsi="方正仿宋_GBK" w:eastAsia="方正仿宋_GBK" w:cs="方正仿宋_GBK"/>
          <w:b/>
          <w:bCs/>
          <w:kern w:val="0"/>
          <w:sz w:val="32"/>
          <w:szCs w:val="32"/>
          <w:lang w:val="en-US" w:eastAsia="zh-CN" w:bidi="ar"/>
        </w:rPr>
      </w:pPr>
      <w:r>
        <w:rPr>
          <w:rFonts w:hint="eastAsia" w:ascii="方正仿宋_GBK" w:hAnsi="方正仿宋_GBK" w:eastAsia="方正仿宋_GBK" w:cs="方正仿宋_GBK"/>
          <w:b/>
          <w:bCs/>
          <w:kern w:val="0"/>
          <w:sz w:val="32"/>
          <w:szCs w:val="32"/>
          <w:lang w:val="en-US" w:eastAsia="zh-CN" w:bidi="ar"/>
        </w:rPr>
        <w:t>主要知识产权证明目录</w:t>
      </w:r>
    </w:p>
    <w:tbl>
      <w:tblPr>
        <w:tblStyle w:val="8"/>
        <w:tblpPr w:leftFromText="180" w:rightFromText="180" w:vertAnchor="text" w:horzAnchor="page" w:tblpX="1336" w:tblpY="202"/>
        <w:tblOverlap w:val="never"/>
        <w:tblW w:w="9500" w:type="dxa"/>
        <w:tblInd w:w="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Layout w:type="autofit"/>
        <w:tblCellMar>
          <w:top w:w="15" w:type="dxa"/>
          <w:left w:w="15" w:type="dxa"/>
          <w:bottom w:w="15" w:type="dxa"/>
          <w:right w:w="15" w:type="dxa"/>
        </w:tblCellMar>
      </w:tblPr>
      <w:tblGrid>
        <w:gridCol w:w="4325"/>
        <w:gridCol w:w="1537"/>
        <w:gridCol w:w="1363"/>
        <w:gridCol w:w="2275"/>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15" w:type="dxa"/>
            <w:left w:w="15" w:type="dxa"/>
            <w:bottom w:w="15" w:type="dxa"/>
            <w:right w:w="15" w:type="dxa"/>
          </w:tblCellMar>
        </w:tblPrEx>
        <w:trPr>
          <w:trHeight w:val="463" w:hRule="atLeast"/>
        </w:trPr>
        <w:tc>
          <w:tcPr>
            <w:tcW w:w="4325"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授权项目名称</w:t>
            </w:r>
          </w:p>
        </w:tc>
        <w:tc>
          <w:tcPr>
            <w:tcW w:w="1537"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知识产权类别</w:t>
            </w:r>
          </w:p>
        </w:tc>
        <w:tc>
          <w:tcPr>
            <w:tcW w:w="1363"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国（区）别</w:t>
            </w:r>
          </w:p>
        </w:tc>
        <w:tc>
          <w:tcPr>
            <w:tcW w:w="2275" w:type="dxa"/>
            <w:tcBorders>
              <w:tl2br w:val="nil"/>
              <w:tr2bl w:val="nil"/>
            </w:tcBorders>
            <w:shd w:val="clear" w:color="auto" w:fill="FFFFFF" w:themeFill="background1"/>
            <w:tcMar>
              <w:top w:w="60" w:type="dxa"/>
              <w:left w:w="75" w:type="dxa"/>
              <w:bottom w:w="60" w:type="dxa"/>
              <w:right w:w="60" w:type="dxa"/>
            </w:tcMar>
            <w:vAlign w:val="center"/>
          </w:tcPr>
          <w:p>
            <w:pPr>
              <w:keepNext w:val="0"/>
              <w:keepLines w:val="0"/>
              <w:pageBreakBefore w:val="0"/>
              <w:widowControl w:val="0"/>
              <w:suppressLineNumbers w:val="0"/>
              <w:kinsoku/>
              <w:wordWrap/>
              <w:overflowPunct/>
              <w:topLinePunct w:val="0"/>
              <w:autoSpaceDE/>
              <w:autoSpaceDN/>
              <w:bidi w:val="0"/>
              <w:adjustRightInd/>
              <w:snapToGrid/>
              <w:spacing w:line="520" w:lineRule="exact"/>
              <w:ind w:left="0" w:firstLine="0"/>
              <w:jc w:val="center"/>
              <w:textAlignment w:val="center"/>
              <w:rPr>
                <w:rFonts w:hint="default" w:ascii="Verdana" w:hAnsi="Verdana" w:cs="Verdana"/>
                <w:b/>
                <w:bCs/>
                <w:i w:val="0"/>
                <w:iCs w:val="0"/>
                <w:caps w:val="0"/>
                <w:color w:val="auto"/>
                <w:spacing w:val="0"/>
                <w:sz w:val="20"/>
                <w:szCs w:val="20"/>
              </w:rPr>
            </w:pPr>
            <w:r>
              <w:rPr>
                <w:rFonts w:hint="default" w:ascii="Verdana" w:hAnsi="Verdana" w:eastAsia="宋体" w:cs="Verdana"/>
                <w:b/>
                <w:bCs/>
                <w:i w:val="0"/>
                <w:iCs w:val="0"/>
                <w:caps w:val="0"/>
                <w:color w:val="auto"/>
                <w:spacing w:val="0"/>
                <w:kern w:val="0"/>
                <w:sz w:val="20"/>
                <w:szCs w:val="20"/>
                <w:lang w:val="en-US" w:eastAsia="zh-CN" w:bidi="ar"/>
              </w:rPr>
              <w:t>授 权 号</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3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一种用于猪饲料辅料的传送机构以及包装设备</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发明专利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 108528834 B</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6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一种用于饲料原料贮存的刮板输送机</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CN218230516U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48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一种用于饲料生产的原料斗式提升机</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CN218307771U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59"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一种饲料生产用圆锥粉碎筛</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CN218486496U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64"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圆袋脉冲除尘器</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CN219002329U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576"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一种用于饲料原料除铁喂料器</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CN218690449U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shd w:val="clear" w:color="auto" w:fill="FFFFFF"/>
          <w:tblCellMar>
            <w:top w:w="15" w:type="dxa"/>
            <w:left w:w="15" w:type="dxa"/>
            <w:bottom w:w="15" w:type="dxa"/>
            <w:right w:w="15" w:type="dxa"/>
          </w:tblCellMar>
        </w:tblPrEx>
        <w:trPr>
          <w:trHeight w:val="659" w:hRule="atLeast"/>
        </w:trPr>
        <w:tc>
          <w:tcPr>
            <w:tcW w:w="432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一种颗粒料的负压冷却设备</w:t>
            </w:r>
          </w:p>
        </w:tc>
        <w:tc>
          <w:tcPr>
            <w:tcW w:w="1537"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实用新型专利</w:t>
            </w:r>
          </w:p>
        </w:tc>
        <w:tc>
          <w:tcPr>
            <w:tcW w:w="1363"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中国</w:t>
            </w:r>
          </w:p>
        </w:tc>
        <w:tc>
          <w:tcPr>
            <w:tcW w:w="2275" w:type="dxa"/>
            <w:tcBorders>
              <w:tl2br w:val="nil"/>
              <w:tr2bl w:val="nil"/>
            </w:tcBorders>
            <w:shd w:val="clear" w:color="auto" w:fill="FFFFFF"/>
            <w:tcMar>
              <w:top w:w="60" w:type="dxa"/>
              <w:left w:w="75" w:type="dxa"/>
              <w:bottom w:w="60" w:type="dxa"/>
              <w:right w:w="60" w:type="dxa"/>
            </w:tcMar>
            <w:vAlign w:val="center"/>
          </w:tcPr>
          <w:p>
            <w:pPr>
              <w:keepNext w:val="0"/>
              <w:keepLines w:val="0"/>
              <w:widowControl/>
              <w:suppressLineNumbers w:val="0"/>
              <w:ind w:left="0" w:firstLine="0"/>
              <w:jc w:val="center"/>
              <w:textAlignment w:val="center"/>
              <w:rPr>
                <w:rFonts w:hint="default" w:ascii="Verdana" w:hAnsi="Verdana" w:cs="Verdana"/>
                <w:i w:val="0"/>
                <w:iCs w:val="0"/>
                <w:caps w:val="0"/>
                <w:color w:val="auto"/>
                <w:spacing w:val="0"/>
                <w:sz w:val="20"/>
                <w:szCs w:val="20"/>
              </w:rPr>
            </w:pPr>
            <w:r>
              <w:rPr>
                <w:rFonts w:hint="default" w:ascii="Verdana" w:hAnsi="Verdana" w:eastAsia="宋体" w:cs="Verdana"/>
                <w:i w:val="0"/>
                <w:iCs w:val="0"/>
                <w:caps w:val="0"/>
                <w:color w:val="auto"/>
                <w:spacing w:val="0"/>
                <w:kern w:val="0"/>
                <w:sz w:val="20"/>
                <w:szCs w:val="20"/>
                <w:lang w:val="en-US" w:eastAsia="zh-CN" w:bidi="ar"/>
              </w:rPr>
              <w:t>CN219390598U</w:t>
            </w:r>
          </w:p>
        </w:tc>
      </w:tr>
    </w:tbl>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仿宋_GBK" w:hAnsi="方正仿宋_GBK" w:eastAsia="方正仿宋_GBK" w:cs="方正仿宋_GBK"/>
          <w:sz w:val="32"/>
          <w:szCs w:val="32"/>
        </w:rPr>
      </w:pPr>
    </w:p>
    <w:sectPr>
      <w:footerReference r:id="rId3" w:type="default"/>
      <w:pgSz w:w="11906" w:h="16838"/>
      <w:pgMar w:top="2098" w:right="1474" w:bottom="181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roman"/>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方正黑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经典宋体简">
    <w:altName w:val="方正书宋_GBK"/>
    <w:panose1 w:val="00000000000000000000"/>
    <w:charset w:val="00"/>
    <w:family w:val="modern"/>
    <w:pitch w:val="default"/>
    <w:sig w:usb0="00000000" w:usb1="00000000" w:usb2="0000001E" w:usb3="00000000" w:csb0="00040000" w:csb1="00000000"/>
  </w:font>
  <w:font w:name="楷体_GB2312">
    <w:panose1 w:val="02010609030101010101"/>
    <w:charset w:val="86"/>
    <w:family w:val="auto"/>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2312">
    <w:altName w:val="方正仿宋_GBK"/>
    <w:panose1 w:val="00000000000000000000"/>
    <w:charset w:val="86"/>
    <w:family w:val="auto"/>
    <w:pitch w:val="default"/>
    <w:sig w:usb0="00000000" w:usb1="00000000" w:usb2="00000012" w:usb3="00000000" w:csb0="00040001" w:csb1="00000000"/>
  </w:font>
  <w:font w:name="等线">
    <w:altName w:val="华文仿宋"/>
    <w:panose1 w:val="02010600030101010101"/>
    <w:charset w:val="00"/>
    <w:family w:val="auto"/>
    <w:pitch w:val="default"/>
    <w:sig w:usb0="00000000" w:usb1="00000000" w:usb2="00000016" w:usb3="00000000" w:csb0="0004000F" w:csb1="00000000"/>
  </w:font>
  <w:font w:name="方正仿宋简体">
    <w:altName w:val="方正仿宋_GBK"/>
    <w:panose1 w:val="00000000000000000000"/>
    <w:charset w:val="00"/>
    <w:family w:val="auto"/>
    <w:pitch w:val="default"/>
    <w:sig w:usb0="00000000" w:usb1="00000000" w:usb2="00000012" w:usb3="00000000" w:csb0="00040001" w:csb1="00000000"/>
  </w:font>
  <w:font w:name="Verdana">
    <w:altName w:val="Ubuntu"/>
    <w:panose1 w:val="020B0604030504040204"/>
    <w:charset w:val="00"/>
    <w:family w:val="auto"/>
    <w:pitch w:val="default"/>
    <w:sig w:usb0="00000000" w:usb1="00000000" w:usb2="0000001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Ubuntu">
    <w:panose1 w:val="020B0604030602030204"/>
    <w:charset w:val="00"/>
    <w:family w:val="auto"/>
    <w:pitch w:val="default"/>
    <w:sig w:usb0="E00002FF" w:usb1="5000205B" w:usb2="00000000" w:usb3="00000000" w:csb0="2000009F" w:csb1="56010000"/>
  </w:font>
  <w:font w:name="Standard Symbols PS">
    <w:panose1 w:val="05050102010706020507"/>
    <w:charset w:val="00"/>
    <w:family w:val="auto"/>
    <w:pitch w:val="default"/>
    <w:sig w:usb0="00000003"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6FF4651"/>
    <w:multiLevelType w:val="singleLevel"/>
    <w:tmpl w:val="D6FF4651"/>
    <w:lvl w:ilvl="0" w:tentative="0">
      <w:start w:val="11"/>
      <w:numFmt w:val="chineseCounting"/>
      <w:suff w:val="nothing"/>
      <w:lvlText w:val="（%1）"/>
      <w:lvlJc w:val="left"/>
      <w:rPr>
        <w:rFonts w:hint="eastAsia"/>
      </w:rPr>
    </w:lvl>
  </w:abstractNum>
  <w:abstractNum w:abstractNumId="1">
    <w:nsid w:val="FD9C1CAB"/>
    <w:multiLevelType w:val="singleLevel"/>
    <w:tmpl w:val="FD9C1CAB"/>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DliMDg3ZGViYTI2YmRiZjlmZDkzNjNlZGU4YWIwNDAifQ=="/>
  </w:docVars>
  <w:rsids>
    <w:rsidRoot w:val="00DE398F"/>
    <w:rsid w:val="00032D7A"/>
    <w:rsid w:val="00195585"/>
    <w:rsid w:val="003640BE"/>
    <w:rsid w:val="003B3B4C"/>
    <w:rsid w:val="00452531"/>
    <w:rsid w:val="00471D66"/>
    <w:rsid w:val="00482579"/>
    <w:rsid w:val="00496F2A"/>
    <w:rsid w:val="00531C3D"/>
    <w:rsid w:val="00897FFC"/>
    <w:rsid w:val="00A94814"/>
    <w:rsid w:val="00BA4233"/>
    <w:rsid w:val="00DE398F"/>
    <w:rsid w:val="00E3745D"/>
    <w:rsid w:val="00E71867"/>
    <w:rsid w:val="00E73A7D"/>
    <w:rsid w:val="00EC0F2B"/>
    <w:rsid w:val="00EE18DA"/>
    <w:rsid w:val="00F15E4B"/>
    <w:rsid w:val="00F4612D"/>
    <w:rsid w:val="00FA12E9"/>
    <w:rsid w:val="00FF6082"/>
    <w:rsid w:val="1BFF5179"/>
    <w:rsid w:val="2DFBA04E"/>
    <w:rsid w:val="3DB72C85"/>
    <w:rsid w:val="576D4B12"/>
    <w:rsid w:val="5FEC6291"/>
    <w:rsid w:val="5FF750DA"/>
    <w:rsid w:val="6A6D2F54"/>
    <w:rsid w:val="6B957492"/>
    <w:rsid w:val="6E971C69"/>
    <w:rsid w:val="6F07D731"/>
    <w:rsid w:val="6F3FF50A"/>
    <w:rsid w:val="757FC8FF"/>
    <w:rsid w:val="7F050954"/>
    <w:rsid w:val="7FF5E3E5"/>
    <w:rsid w:val="CDE7A46E"/>
    <w:rsid w:val="E7FFB318"/>
    <w:rsid w:val="EEEFE5BB"/>
    <w:rsid w:val="EF494F48"/>
    <w:rsid w:val="F3FFA201"/>
    <w:rsid w:val="F69E1A91"/>
    <w:rsid w:val="F9F2A8B6"/>
    <w:rsid w:val="FF5623CB"/>
    <w:rsid w:val="FF7B6142"/>
    <w:rsid w:val="FFC832B0"/>
    <w:rsid w:val="FFF728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3">
    <w:name w:val="Body Text"/>
    <w:basedOn w:val="1"/>
    <w:next w:val="1"/>
    <w:qFormat/>
    <w:uiPriority w:val="1"/>
    <w:pPr>
      <w:spacing w:before="2"/>
      <w:ind w:left="238"/>
    </w:pPr>
    <w:rPr>
      <w:rFonts w:ascii="宋体" w:hAnsi="宋体" w:eastAsia="宋体" w:cs="宋体"/>
      <w:sz w:val="21"/>
      <w:szCs w:val="21"/>
      <w:lang w:val="zh-CN" w:eastAsia="zh-CN" w:bidi="zh-CN"/>
    </w:r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nhideWhenUsed/>
    <w:qFormat/>
    <w:uiPriority w:val="99"/>
    <w:pPr>
      <w:spacing w:before="100" w:beforeAutospacing="1" w:after="100" w:afterAutospacing="1"/>
    </w:pPr>
    <w:rPr>
      <w:rFonts w:ascii="Times New Roman" w:hAnsi="Times New Roman" w:eastAsia="Times New Roman" w:cs="Times New Roman"/>
    </w:r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0"/>
    <w:rPr>
      <w:color w:val="0000FF"/>
      <w:u w:val="single"/>
    </w:rPr>
  </w:style>
  <w:style w:type="paragraph" w:customStyle="1" w:styleId="12">
    <w:name w:val="Table Paragraph"/>
    <w:basedOn w:val="1"/>
    <w:qFormat/>
    <w:uiPriority w:val="1"/>
    <w:rPr>
      <w:rFonts w:ascii="宋体" w:hAnsi="宋体" w:eastAsia="宋体" w:cs="宋体"/>
      <w:lang w:val="zh-CN" w:eastAsia="zh-CN" w:bidi="zh-CN"/>
    </w:rPr>
  </w:style>
  <w:style w:type="paragraph" w:customStyle="1" w:styleId="13">
    <w:name w:val="Table Text"/>
    <w:basedOn w:val="1"/>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4"/>
      <w:szCs w:val="24"/>
      <w:lang w:eastAsia="en-US"/>
    </w:rPr>
  </w:style>
  <w:style w:type="paragraph" w:styleId="14">
    <w:name w:val="List Paragraph"/>
    <w:basedOn w:val="1"/>
    <w:qFormat/>
    <w:uiPriority w:val="34"/>
    <w:pPr>
      <w:ind w:left="480" w:left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22276</Words>
  <Characters>24725</Characters>
  <Lines>17</Lines>
  <Paragraphs>4</Paragraphs>
  <TotalTime>0</TotalTime>
  <ScaleCrop>false</ScaleCrop>
  <LinksUpToDate>false</LinksUpToDate>
  <CharactersWithSpaces>25044</CharactersWithSpaces>
  <Application>WPS Office_11.8.2.10422_F1E327BC-269C-435d-A152-05C5408002CA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2021-06-04T15:28:00Z</dcterms:created>
  <dc:creator>Administrator</dc:creator>
  <cp:lastModifiedBy>kylin</cp:lastModifiedBy>
  <dcterms:modified xsi:type="dcterms:W3CDTF">2023-12-19T09:07:58Z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2052-11.8.2.10422</vt:lpwstr>
  </property>
  <property fmtid="{D5CDD505-2E9C-101B-9397-08002B2CF9AE}" pid="3" name="ICV">
    <vt:lpwstr>A59932376F8F41A18816607621ACF084</vt:lpwstr>
  </property>
</Properties>
</file>