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60"/>
        </w:tabs>
        <w:kinsoku w:val="0"/>
        <w:overflowPunct w:val="0"/>
        <w:spacing w:line="799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3760"/>
        </w:tabs>
        <w:kinsoku w:val="0"/>
        <w:overflowPunct w:val="0"/>
        <w:spacing w:line="799" w:lineRule="exact"/>
        <w:ind w:left="1600"/>
        <w:rPr>
          <w:rFonts w:hint="eastAsia" w:ascii="黑体" w:hAnsi="黑体" w:eastAsia="黑体" w:cs="黑体"/>
          <w:sz w:val="48"/>
        </w:rPr>
        <w:sectPr>
          <w:pgSz w:w="11906" w:h="16840"/>
          <w:pgMar w:top="1474" w:right="1361" w:bottom="1361" w:left="1134" w:header="0" w:footer="952" w:gutter="0"/>
          <w:lnNumType w:countBy="0" w:distance="360"/>
          <w:pgNumType w:start="2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3286760</wp:posOffset>
                </wp:positionV>
                <wp:extent cx="5496560" cy="1612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>第二部分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 xml:space="preserve">    20</w:t>
                            </w: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>年部门预算表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58.8pt;height:127pt;width:432.8pt;z-index:251660288;mso-width-relative:page;mso-height-relative:page;" filled="f" stroked="f" coordsize="21600,21600" o:gfxdata="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lNvh1wAA&#10;AAoBAAAPAAAAAAAAAAEAIAAAACIAAABkcnMvZG93bnJldi54bWxQSwECFAAUAAAACACHTuJAh3x7&#10;h60BAABPAwAADgAAAAAAAAABACAAAAAmAQAAZHJzL2Uyb0RvYy54bWxQSwUGAAAAAAYABgBZAQAA&#10;RQ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  <w:t>第二部分</w:t>
                      </w:r>
                    </w:p>
                    <w:p>
                      <w:pP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  <w:t xml:space="preserve">    20</w:t>
                      </w: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  <w:t>年部门预算表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-161925</wp:posOffset>
                </wp:positionV>
                <wp:extent cx="7653655" cy="10797540"/>
                <wp:effectExtent l="19050" t="19050" r="23495" b="228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3655" cy="10797540"/>
                          <a:chOff x="0" y="0"/>
                          <a:chExt cx="12053" cy="17004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3600" cy="1700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38100" cap="rnd" cmpd="sng">
                            <a:solidFill>
                              <a:srgbClr val="C0C0C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357" y="5148"/>
                            <a:ext cx="11697" cy="3195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89999"/>
                            </a:srgbClr>
                          </a:solidFill>
                          <a:ln w="38100" cap="rnd" cmpd="sng">
                            <a:solidFill>
                              <a:srgbClr val="00CCFF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6pt;margin-top:-12.75pt;height:850.2pt;width:602.65pt;z-index:251659264;mso-width-relative:page;mso-height-relative:page;" coordsize="12053,17004" o:gfxdata="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tsJFuNwAAAAMAQAADwAAAAAA&#10;AAABACAAAAAiAAAAZHJzL2Rvd25yZXYueG1sUEsBAhQAFAAAAAgAh07iQFNno5O6AgAArAcAAA4A&#10;AAAAAAAAAQAgAAAAKwEAAGRycy9lMm9Eb2MueG1sUEsFBgAAAAAGAAYAWQEAAFcGAAAAAA==&#10;">
                <o:lock v:ext="edit" grouping="f" rotation="f" text="f" aspectratio="f"/>
                <v:rect id="_x0000_s1026" o:spid="_x0000_s1026" o:spt="1" style="position:absolute;left:0;top:0;height:17004;width:3600;" fillcolor="#00CCFF" filled="t" stroked="t" coordsize="21600,21600" o:gfxdata="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e01W8AAAA&#10;2g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C0C0C0" joinstyle="miter" dashstyle="1 1" endcap="round"/>
                  <v:imagedata o:title=""/>
                  <o:lock v:ext="edit" aspectratio="f"/>
                </v:rect>
                <v:rect id="_x0000_s1026" o:spid="_x0000_s1026" o:spt="1" style="position:absolute;left:357;top:5148;height:3195;width:11697;" fillcolor="#C0C0C0" filled="t" stroked="t" coordsize="21600,21600" o:gfxdata="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yKHC8AAAA&#10;2gAAAA8AAAAAAAAAAQAgAAAAIgAAAGRycy9kb3ducmV2LnhtbFBLAQIUABQAAAAIAIdO4kAzLwWe&#10;OwAAADkAAAAQAAAAAAAAAAEAIAAAAAsBAABkcnMvc2hhcGV4bWwueG1sUEsFBgAAAAAGAAYAWwEA&#10;ALUDAAAAAA==&#10;">
                  <v:fill on="t" opacity="58982f" focussize="0,0"/>
                  <v:stroke weight="3pt" color="#00CCFF" joinstyle="miter" dashstyle="1 1" endcap="round"/>
                  <v:imagedata o:title=""/>
                  <o:lock v:ext="edit" aspectratio="f"/>
                </v:rect>
              </v:group>
            </w:pict>
          </mc:Fallback>
        </mc:AlternateContent>
      </w: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985"/>
        <w:gridCol w:w="2835"/>
        <w:gridCol w:w="418"/>
        <w:gridCol w:w="1283"/>
        <w:gridCol w:w="679"/>
        <w:gridCol w:w="2298"/>
        <w:gridCol w:w="50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  <w:sz w:val="44"/>
                <w:szCs w:val="44"/>
                <w:lang w:bidi="ar"/>
              </w:rPr>
              <w:t>部 门 收 支 总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jc w:val="both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　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jc w:val="both"/>
              <w:rPr>
                <w:rFonts w:eastAsia="黑体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jc w:val="both"/>
              <w:rPr>
                <w:rFonts w:eastAsia="黑体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jc w:val="both"/>
              <w:rPr>
                <w:rFonts w:eastAsia="黑体"/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收         入</w:t>
            </w:r>
          </w:p>
        </w:tc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支      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项         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预算数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项  目  类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预算数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功  能  科  目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一、公共财政预算资金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/>
                <w:b w:val="0"/>
                <w:bCs/>
                <w:sz w:val="20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302.85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一、工资福利支出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183.72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一、一般公共服务支出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二、政府性基金安排的拨款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/>
                <w:b w:val="0"/>
                <w:bCs/>
                <w:sz w:val="20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62.8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二、商品和服务支出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27.13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二、外交支出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三、纳入专户管理的事业资金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三、对个人和家庭补助支出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三、国防支出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四、国有资本经营预算资金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四、转移性支出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四、公共安全支出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五、收回单位结余资金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五、债务利息及费用支出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五、教育支出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六、其他资金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六、资本性支出（基本建设）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六、科学技术支出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七、资本性支出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七、文化旅游体育与传媒支出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八、对企业补助（基本建设）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八、社会保障和就业支出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lang w:val="en-US" w:eastAsia="zh-CN"/>
              </w:rPr>
              <w:t>255.49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九、对企业补助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九、社会保险基金支出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lang w:val="en-US" w:eastAsia="zh-CN"/>
              </w:rPr>
              <w:t>18.71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十、对社会保障基金补助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十、卫生健康支出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lang w:val="en-US" w:eastAsia="zh-CN"/>
              </w:rPr>
              <w:t>11.97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十一、其他支出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十一、节能环保支出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十二、城乡社区支出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0"/>
                <w:lang w:val="en-US" w:eastAsia="zh-CN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十三、农林水支出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十四、交通运输支出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十五、资源勘探信息等支出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十六、商业服务业等支出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十七、金融支出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十八、援助其他地区支出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十九、自然资源海洋气象等支出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二十、住房保障支出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lang w:val="en-US" w:eastAsia="zh-CN"/>
              </w:rPr>
              <w:t>16.68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二十一、粮油物资储备支出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二十二、灾害防治及应急管理支出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二十三、预备费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二十四、其他支出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二十五、转移性支出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本年收入小计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lang w:val="en-US" w:eastAsia="zh-CN"/>
              </w:rPr>
              <w:t>365.65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二十六、债务还本支出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上年结转资金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二十七、债务付息支出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二十八、债务发行费支出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　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ascii="宋体" w:hAnsi="宋体"/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本  年  收  入  合  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lang w:val="en-US" w:eastAsia="zh-CN"/>
              </w:rPr>
              <w:t>365.65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本  年  支  出  合  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365.65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本  年  支  出  合  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/>
                <w:b w:val="0"/>
                <w:bCs/>
                <w:sz w:val="20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365.65</w:t>
            </w:r>
          </w:p>
        </w:tc>
      </w:tr>
    </w:tbl>
    <w:p>
      <w:pPr>
        <w:tabs>
          <w:tab w:val="left" w:pos="1289"/>
        </w:tabs>
        <w:rPr>
          <w:rFonts w:hint="eastAsia" w:eastAsia="黑体"/>
        </w:rPr>
        <w:sectPr>
          <w:pgSz w:w="16840" w:h="11906" w:orient="landscape"/>
          <w:pgMar w:top="850" w:right="850" w:bottom="850" w:left="1417" w:header="0" w:footer="952" w:gutter="0"/>
          <w:lnNumType w:countBy="0" w:distance="360"/>
          <w:pgNumType w:start="2"/>
          <w:cols w:space="720" w:num="1"/>
        </w:sect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"/>
        <w:gridCol w:w="810"/>
        <w:gridCol w:w="915"/>
        <w:gridCol w:w="914"/>
        <w:gridCol w:w="656"/>
        <w:gridCol w:w="1134"/>
        <w:gridCol w:w="1005"/>
        <w:gridCol w:w="1230"/>
        <w:gridCol w:w="191"/>
        <w:gridCol w:w="925"/>
        <w:gridCol w:w="1395"/>
        <w:gridCol w:w="200"/>
        <w:gridCol w:w="1165"/>
        <w:gridCol w:w="1080"/>
        <w:gridCol w:w="320"/>
        <w:gridCol w:w="1030"/>
        <w:gridCol w:w="1235"/>
        <w:gridCol w:w="1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42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44"/>
                <w:szCs w:val="44"/>
                <w:lang w:bidi="ar"/>
              </w:rPr>
              <w:t>部门收入总表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402" w:type="dxa"/>
            <w:gridSpan w:val="5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0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9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65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总计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当年安排小计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公共财政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预算资金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基金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纳入预算管理的事业资金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国有资本经营预算资金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其他资金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收回单位结余资金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上年结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转资金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　晋城市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人力资源和社会保障综合服务中心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cs="宋体"/>
                <w:color w:val="000000"/>
                <w:sz w:val="13"/>
                <w:szCs w:val="13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365.65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365.65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302.85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62.8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465" w:hRule="atLeast"/>
          <w:jc w:val="center"/>
        </w:trPr>
        <w:tc>
          <w:tcPr>
            <w:tcW w:w="1420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Cs/>
                <w:color w:val="000000"/>
                <w:sz w:val="44"/>
                <w:szCs w:val="44"/>
                <w:lang w:bidi="ar"/>
              </w:rPr>
              <w:t>部门支出总表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315" w:hRule="atLeast"/>
          <w:jc w:val="center"/>
        </w:trPr>
        <w:tc>
          <w:tcPr>
            <w:tcW w:w="81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1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4216" w:type="dxa"/>
            <w:gridSpan w:val="5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2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65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科目编码</w:t>
            </w: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功能科目名称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总     计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基本支出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合   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9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晋城市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人力资源和社会保障综合服务中心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365.65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210.85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154.8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306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一般公共服务支出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财政事务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行政运行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一般行政管理事务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财政委托业务支出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教育支出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成人教育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其他成人教育支出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社会保障和就业支出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255.49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行政事业单位养老支出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　　　　　机关事业单位基本养老保险缴费支出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　　　　　机关事业单位职业年金缴费支出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卫生健康支出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计划生育事务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其他计划生育事务支出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行政事业单位医疗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行政单位医疗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公务员医疗补助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住房保障支出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住房改革支出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7" w:type="dxa"/>
          <w:wAfter w:w="108" w:type="dxa"/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　　　　　住房公积金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3760"/>
        </w:tabs>
        <w:kinsoku w:val="0"/>
        <w:overflowPunct w:val="0"/>
        <w:spacing w:line="799" w:lineRule="exact"/>
        <w:ind w:left="1600"/>
        <w:rPr>
          <w:rFonts w:hint="eastAsia" w:ascii="黑体" w:hAnsi="黑体" w:eastAsia="黑体" w:cs="黑体"/>
          <w:sz w:val="48"/>
        </w:rPr>
        <w:sectPr>
          <w:pgSz w:w="16840" w:h="11906" w:orient="landscape"/>
          <w:pgMar w:top="850" w:right="850" w:bottom="850" w:left="1134" w:header="0" w:footer="952" w:gutter="0"/>
          <w:lnNumType w:countBy="0" w:distance="360"/>
          <w:pgNumType w:start="2"/>
          <w:cols w:space="720" w:num="1"/>
        </w:sectPr>
      </w:pPr>
    </w:p>
    <w:tbl>
      <w:tblPr>
        <w:tblStyle w:val="2"/>
        <w:tblpPr w:leftFromText="180" w:rightFromText="180" w:vertAnchor="text" w:horzAnchor="page" w:tblpXSpec="center" w:tblpY="-31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635"/>
        <w:gridCol w:w="2995"/>
        <w:gridCol w:w="2130"/>
        <w:gridCol w:w="229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财政拨款收支总表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4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0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　　　　　 入</w:t>
            </w:r>
          </w:p>
        </w:tc>
        <w:tc>
          <w:tcPr>
            <w:tcW w:w="946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支　　　　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　　目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预算数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　　目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　　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一般公共预算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政府性基金预算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一、本年收入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365.65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一、本年支出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（一）一般公共预算拨款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302.85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（一）一般公共服务支出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（二）政府性基金预算拨款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62.8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（二）公共安全支出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（三）教育支出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二、上年结转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（四）科学技术支出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（一）一般公共预算拨款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（五）文化旅游体育与传媒支出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（二）政府性基金预算拨款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（六）社会保障和就业支出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274.2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274.2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（七）卫生健康支出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11.97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11.97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（八）节能环保支出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（九）城乡社区支出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62.8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（十）农林水支出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（十二）资源勘探信息等支出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（十三）商业服务业等支出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（十四）金融支出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（十五）自然资源海洋气象等支出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（十六）住房保障支出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（十七）粮油物资储备支出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（十八）灾害防治及应急管理支出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（十九）其他支出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二、结转下年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　入　总　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365.65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支　出　总　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right"/>
        <w:rPr>
          <w:rFonts w:hint="eastAsia" w:ascii="宋体" w:hAnsi="宋体" w:cs="宋体"/>
          <w:sz w:val="20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915"/>
        <w:gridCol w:w="914"/>
        <w:gridCol w:w="4216"/>
        <w:gridCol w:w="2520"/>
        <w:gridCol w:w="2565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2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Cs/>
                <w:color w:val="000000"/>
                <w:sz w:val="44"/>
                <w:szCs w:val="44"/>
                <w:lang w:bidi="ar"/>
              </w:rPr>
              <w:t>一般公共预算支出表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1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1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421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2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6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65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科目编码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功能科目名称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总     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基本支出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合   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365.65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210.85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154.08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一般公共服务支出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财政事务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01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行政运行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02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一般行政管理事务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08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财政委托业务支出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50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事业运行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99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其他财政事务支出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教育支出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成人教育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99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其他成人教育支出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社会保障和就业支出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274.2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182.2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行政事业单位养老支出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05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机关事业单位基本养老保险缴费支出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18.71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18.71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06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机关事业单位职业年金缴费支出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卫生健康支出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计划生育事务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99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其他计划生育事务支出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行政事业单位医疗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11.79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11.79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01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行政单位医疗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02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事业单位医疗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03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公务员医疗补助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3.79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99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其他行政事业单位医疗支出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221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住房保障支出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02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住房改革支出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01</w:t>
            </w: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　住房公积金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289"/>
        </w:tabs>
        <w:rPr>
          <w:rFonts w:hint="eastAsia" w:ascii="黑体" w:hAnsi="黑体" w:eastAsia="黑体" w:cs="黑体"/>
          <w:szCs w:val="24"/>
        </w:rPr>
      </w:pPr>
    </w:p>
    <w:p>
      <w:pPr>
        <w:tabs>
          <w:tab w:val="left" w:pos="1289"/>
        </w:tabs>
        <w:rPr>
          <w:rFonts w:hint="eastAsia" w:ascii="黑体" w:hAnsi="黑体" w:eastAsia="黑体" w:cs="黑体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95"/>
        <w:gridCol w:w="5002"/>
        <w:gridCol w:w="2458"/>
        <w:gridCol w:w="245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jc w:val="center"/>
              <w:rPr>
                <w:rFonts w:hint="eastAsia" w:ascii="黑体" w:hAnsi="黑体" w:eastAsia="黑体" w:cs="黑体"/>
                <w:sz w:val="4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hint="eastAsia" w:ascii="黑体" w:hAnsi="黑体" w:eastAsia="黑体" w:cs="黑体"/>
                <w:sz w:val="4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hint="eastAsia" w:ascii="黑体" w:hAnsi="黑体" w:eastAsia="黑体" w:cs="黑体"/>
                <w:sz w:val="48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hint="eastAsia" w:ascii="黑体" w:hAnsi="黑体" w:eastAsia="黑体" w:cs="黑体"/>
                <w:sz w:val="4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hint="eastAsia" w:ascii="黑体" w:hAnsi="黑体" w:eastAsia="黑体" w:cs="黑体"/>
                <w:sz w:val="4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rPr>
                <w:rFonts w:hint="eastAsia" w:ascii="黑体" w:hAnsi="黑体" w:eastAsia="黑体" w:cs="黑体"/>
                <w:sz w:val="4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类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款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经济科目名称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    计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人员经费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工资福利支出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201.72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183.72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基本工资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66.45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66.45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津贴补贴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10.15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10.15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奖金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绩效工资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47.57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47.57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机关事业单位基本养老保险缴费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18.71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18.71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职业年金缴费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职工基本医疗保险缴费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公务员医疗补助缴费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3.79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3.79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其他社会保障缴费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住房公积金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16.68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其他工资福利支出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29.68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11.68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商品和服务支出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163.93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27.13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办公费</w:t>
            </w:r>
          </w:p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29.78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19.78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印刷费</w:t>
            </w:r>
          </w:p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咨询费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ind w:firstLine="36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手续费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ind w:firstLine="360" w:firstLineChars="20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电费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ind w:firstLine="360" w:firstLineChars="20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邮电费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取暖费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0.92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0.92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物业管理费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ind w:firstLine="360" w:firstLineChars="20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差旅费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ind w:firstLine="360" w:firstLineChars="20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因公出国（境）费用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ind w:firstLine="360" w:firstLineChars="20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维修（护）费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租赁费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会议费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培训费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公务接待费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专用材料费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26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劳务费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工会经费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2.34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2.34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福利费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4.09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4.09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公车运行维护费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其他交通费用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其他商品和服务支出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120.8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对个人和家庭的补助 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离休费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退休费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医疗费补助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助学金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奖励金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个人农业生产补贴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99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　其他对个人和家庭的补助支出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tabs>
                <w:tab w:val="left" w:pos="1289"/>
              </w:tabs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资本性支出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办公设备购置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tabs>
                <w:tab w:val="left" w:pos="1289"/>
              </w:tabs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002" w:type="dxa"/>
            <w:noWrap w:val="0"/>
            <w:vAlign w:val="center"/>
          </w:tcPr>
          <w:p>
            <w:pPr>
              <w:tabs>
                <w:tab w:val="left" w:pos="1289"/>
              </w:tabs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    计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tabs>
          <w:tab w:val="left" w:pos="1289"/>
        </w:tabs>
        <w:rPr>
          <w:rFonts w:hint="eastAsia" w:ascii="黑体" w:hAnsi="黑体" w:eastAsia="黑体" w:cs="黑体"/>
          <w:sz w:val="48"/>
        </w:rPr>
      </w:pPr>
    </w:p>
    <w:p>
      <w:pPr>
        <w:tabs>
          <w:tab w:val="left" w:pos="1289"/>
        </w:tabs>
        <w:rPr>
          <w:rFonts w:hint="eastAsia" w:ascii="黑体" w:hAnsi="黑体" w:eastAsia="黑体" w:cs="黑体"/>
          <w:sz w:val="48"/>
        </w:rPr>
      </w:pPr>
    </w:p>
    <w:p>
      <w:pPr>
        <w:tabs>
          <w:tab w:val="left" w:pos="1289"/>
        </w:tabs>
        <w:rPr>
          <w:rFonts w:hint="eastAsia" w:ascii="黑体" w:hAnsi="黑体" w:eastAsia="黑体" w:cs="黑体"/>
          <w:sz w:val="48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7"/>
        <w:gridCol w:w="2049"/>
        <w:gridCol w:w="1604"/>
        <w:gridCol w:w="1229"/>
        <w:gridCol w:w="1229"/>
        <w:gridCol w:w="1719"/>
        <w:gridCol w:w="1172"/>
        <w:gridCol w:w="1172"/>
        <w:gridCol w:w="11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44"/>
                <w:szCs w:val="44"/>
                <w:lang w:bidi="ar"/>
              </w:rPr>
              <w:t>“三公”经费预算情况表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项目</w:t>
            </w: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本年预算数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上年预算数</w:t>
            </w:r>
          </w:p>
        </w:tc>
        <w:tc>
          <w:tcPr>
            <w:tcW w:w="24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本年预算比上年预算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上年决算数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本年预算比上年决算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增减额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增减比例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增减额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增减比例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合计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晋城市人力资源和社会保障综合服务中心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  公务接待费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因公出国（境）费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 xml:space="preserve">  公务车购置费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  公务用车运行维护费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 xml:space="preserve">  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9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</w:p>
        </w:tc>
        <w:tc>
          <w:tcPr>
            <w:tcW w:w="2049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</w:tbl>
    <w:p>
      <w:pPr>
        <w:tabs>
          <w:tab w:val="left" w:pos="1289"/>
        </w:tabs>
        <w:rPr>
          <w:rFonts w:hint="eastAsia" w:ascii="黑体" w:hAnsi="黑体" w:eastAsia="黑体" w:cs="黑体"/>
          <w:sz w:val="48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915"/>
        <w:gridCol w:w="914"/>
        <w:gridCol w:w="5216"/>
        <w:gridCol w:w="2190"/>
        <w:gridCol w:w="2040"/>
        <w:gridCol w:w="21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2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Cs/>
                <w:color w:val="000000"/>
                <w:sz w:val="44"/>
                <w:szCs w:val="44"/>
                <w:lang w:bidi="ar"/>
              </w:rPr>
              <w:t>政府性基金预算支出表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1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1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521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19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04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120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科目编码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功能科目名称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总     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基本支出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合   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62.8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62.8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信息系统运行维护费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zIyZGIyYTA4MTUwOWRmYjBiMzM2MDFjMzY5YjYifQ=="/>
  </w:docVars>
  <w:rsids>
    <w:rsidRoot w:val="4E713654"/>
    <w:rsid w:val="4E7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1996</Words>
  <Characters>2532</Characters>
  <Lines>0</Lines>
  <Paragraphs>0</Paragraphs>
  <TotalTime>1</TotalTime>
  <ScaleCrop>false</ScaleCrop>
  <LinksUpToDate>false</LinksUpToDate>
  <CharactersWithSpaces>3039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2022-09-02T01:55:00Z</dcterms:created>
  <dc:creator>大白</dc:creator>
  <cp:lastModifiedBy>大白</cp:lastModifiedBy>
  <dcterms:modified xsi:type="dcterms:W3CDTF">2022-09-02T01:57:11Z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BAF6D57081CC4C62A2CE91C93673CA58</vt:lpwstr>
  </property>
</Properties>
</file>