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AB9CA">
      <w:pPr>
        <w:widowControl/>
        <w:spacing w:line="360" w:lineRule="auto"/>
        <w:ind w:firstLine="0" w:firstLineChars="0"/>
        <w:jc w:val="center"/>
        <w:rPr>
          <w:rFonts w:eastAsia="方正小标宋简体"/>
          <w:b/>
          <w:bCs/>
          <w:sz w:val="36"/>
          <w:szCs w:val="36"/>
        </w:rPr>
      </w:pPr>
    </w:p>
    <w:p w14:paraId="0190D97E">
      <w:pPr>
        <w:widowControl/>
        <w:spacing w:line="240" w:lineRule="auto"/>
        <w:ind w:firstLine="0" w:firstLineChars="0"/>
        <w:jc w:val="center"/>
        <w:rPr>
          <w:rFonts w:hint="eastAsia" w:eastAsia="方正小标宋简体"/>
          <w:b/>
          <w:bCs/>
          <w:sz w:val="52"/>
          <w:szCs w:val="52"/>
        </w:rPr>
      </w:pPr>
    </w:p>
    <w:p w14:paraId="5AE654FD">
      <w:pPr>
        <w:widowControl/>
        <w:spacing w:line="240" w:lineRule="auto"/>
        <w:ind w:firstLine="0" w:firstLineChars="0"/>
        <w:jc w:val="center"/>
        <w:rPr>
          <w:rFonts w:hint="eastAsia" w:eastAsia="方正小标宋简体"/>
          <w:b/>
          <w:bCs/>
          <w:sz w:val="52"/>
          <w:szCs w:val="52"/>
        </w:rPr>
      </w:pPr>
    </w:p>
    <w:p w14:paraId="14D2471F">
      <w:pPr>
        <w:widowControl/>
        <w:spacing w:line="240" w:lineRule="auto"/>
        <w:ind w:firstLine="0" w:firstLineChars="0"/>
        <w:jc w:val="center"/>
        <w:rPr>
          <w:rFonts w:hint="default" w:eastAsia="方正小标宋简体"/>
          <w:b w:val="0"/>
          <w:bCs w:val="0"/>
          <w:sz w:val="52"/>
          <w:szCs w:val="52"/>
          <w:lang w:val="en-US" w:eastAsia="zh-CN"/>
        </w:rPr>
      </w:pPr>
      <w:r>
        <w:rPr>
          <w:rFonts w:hint="eastAsia" w:eastAsia="方正小标宋简体"/>
          <w:b/>
          <w:bCs/>
          <w:sz w:val="52"/>
          <w:szCs w:val="52"/>
        </w:rPr>
        <w:t>晋城市“十四五”人力资源和社会保障事业规划</w:t>
      </w:r>
      <w:r>
        <w:rPr>
          <w:rFonts w:hint="eastAsia" w:eastAsia="方正小标宋简体"/>
          <w:b/>
          <w:bCs/>
          <w:sz w:val="52"/>
          <w:szCs w:val="52"/>
          <w:lang w:eastAsia="zh-CN"/>
        </w:rPr>
        <w:t>（</w:t>
      </w:r>
      <w:r>
        <w:rPr>
          <w:rFonts w:hint="eastAsia" w:eastAsia="方正小标宋简体"/>
          <w:b/>
          <w:bCs/>
          <w:sz w:val="52"/>
          <w:szCs w:val="52"/>
          <w:lang w:val="en-US" w:eastAsia="zh-CN"/>
        </w:rPr>
        <w:t>2021-2025年）</w:t>
      </w:r>
    </w:p>
    <w:p w14:paraId="0F33A184">
      <w:pPr>
        <w:pStyle w:val="12"/>
        <w:rPr>
          <w:rFonts w:hint="eastAsia" w:eastAsia="方正小标宋简体"/>
          <w:b/>
          <w:bCs/>
          <w:sz w:val="52"/>
          <w:szCs w:val="52"/>
        </w:rPr>
      </w:pPr>
    </w:p>
    <w:p w14:paraId="412C1B4E">
      <w:pPr>
        <w:pStyle w:val="10"/>
        <w:rPr>
          <w:rFonts w:hint="eastAsia" w:eastAsia="方正小标宋简体"/>
          <w:b/>
          <w:bCs/>
          <w:sz w:val="52"/>
          <w:szCs w:val="52"/>
        </w:rPr>
      </w:pPr>
    </w:p>
    <w:p w14:paraId="7BD845AF">
      <w:pPr>
        <w:rPr>
          <w:rFonts w:hint="eastAsia" w:eastAsia="方正小标宋简体"/>
          <w:b/>
          <w:bCs/>
          <w:sz w:val="52"/>
          <w:szCs w:val="52"/>
        </w:rPr>
      </w:pPr>
    </w:p>
    <w:p w14:paraId="13A2FDE7">
      <w:pPr>
        <w:pStyle w:val="12"/>
        <w:rPr>
          <w:rFonts w:hint="eastAsia" w:eastAsia="方正小标宋简体"/>
          <w:b/>
          <w:bCs/>
          <w:sz w:val="52"/>
          <w:szCs w:val="52"/>
        </w:rPr>
      </w:pPr>
    </w:p>
    <w:p w14:paraId="27643943">
      <w:pPr>
        <w:pStyle w:val="10"/>
        <w:rPr>
          <w:rFonts w:hint="eastAsia" w:eastAsia="方正小标宋简体"/>
          <w:b/>
          <w:bCs/>
          <w:sz w:val="52"/>
          <w:szCs w:val="52"/>
        </w:rPr>
      </w:pPr>
    </w:p>
    <w:p w14:paraId="425562FB">
      <w:pPr>
        <w:rPr>
          <w:rFonts w:hint="eastAsia" w:eastAsia="方正小标宋简体"/>
          <w:b/>
          <w:bCs/>
          <w:sz w:val="52"/>
          <w:szCs w:val="52"/>
        </w:rPr>
      </w:pPr>
    </w:p>
    <w:p w14:paraId="51B37D13">
      <w:pPr>
        <w:pStyle w:val="12"/>
        <w:rPr>
          <w:rFonts w:hint="eastAsia" w:eastAsia="方正小标宋简体"/>
          <w:b/>
          <w:bCs/>
          <w:sz w:val="52"/>
          <w:szCs w:val="52"/>
        </w:rPr>
      </w:pPr>
    </w:p>
    <w:p w14:paraId="78760051">
      <w:pPr>
        <w:pStyle w:val="10"/>
        <w:rPr>
          <w:rFonts w:hint="eastAsia" w:eastAsia="方正小标宋简体"/>
          <w:b/>
          <w:bCs/>
          <w:sz w:val="52"/>
          <w:szCs w:val="52"/>
        </w:rPr>
      </w:pPr>
    </w:p>
    <w:p w14:paraId="11AE69B3">
      <w:pPr>
        <w:rPr>
          <w:rFonts w:hint="eastAsia" w:eastAsia="方正小标宋简体"/>
          <w:b/>
          <w:bCs/>
          <w:sz w:val="52"/>
          <w:szCs w:val="52"/>
        </w:rPr>
      </w:pPr>
    </w:p>
    <w:p w14:paraId="28C9C395">
      <w:pPr>
        <w:pStyle w:val="10"/>
        <w:ind w:left="0" w:leftChars="0" w:firstLine="0" w:firstLineChars="0"/>
        <w:rPr>
          <w:rFonts w:hint="eastAsia" w:eastAsia="方正小标宋简体"/>
          <w:b/>
          <w:bCs/>
          <w:sz w:val="52"/>
          <w:szCs w:val="52"/>
        </w:rPr>
      </w:pPr>
    </w:p>
    <w:p w14:paraId="062EDEC6">
      <w:pPr>
        <w:rPr>
          <w:rFonts w:hint="eastAsia" w:eastAsia="方正小标宋简体"/>
          <w:b/>
          <w:bCs/>
          <w:sz w:val="52"/>
          <w:szCs w:val="52"/>
        </w:rPr>
      </w:pPr>
    </w:p>
    <w:p w14:paraId="2AF0C225">
      <w:pPr>
        <w:pStyle w:val="12"/>
        <w:rPr>
          <w:rFonts w:hint="eastAsia" w:eastAsia="方正小标宋简体"/>
          <w:b/>
          <w:bCs/>
          <w:sz w:val="52"/>
          <w:szCs w:val="52"/>
        </w:rPr>
      </w:pPr>
    </w:p>
    <w:p w14:paraId="2168E5AA">
      <w:pPr>
        <w:pStyle w:val="10"/>
        <w:ind w:left="0" w:leftChars="0" w:firstLine="0" w:firstLineChars="0"/>
        <w:jc w:val="center"/>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晋城市人力资源和社会保障局</w:t>
      </w:r>
    </w:p>
    <w:p w14:paraId="76B134C3">
      <w:pPr>
        <w:ind w:left="0" w:leftChars="0" w:firstLine="0" w:firstLineChars="0"/>
        <w:jc w:val="center"/>
        <w:rPr>
          <w:rFonts w:hint="eastAsia"/>
          <w:lang w:val="en-US" w:eastAsia="zh-CN"/>
        </w:rPr>
      </w:pPr>
      <w:r>
        <w:rPr>
          <w:rFonts w:hint="eastAsia" w:ascii="黑体" w:hAnsi="黑体" w:eastAsia="黑体" w:cs="黑体"/>
          <w:b/>
          <w:bCs/>
          <w:kern w:val="2"/>
          <w:sz w:val="36"/>
          <w:szCs w:val="36"/>
          <w:lang w:val="en-US" w:eastAsia="zh-CN" w:bidi="ar-SA"/>
        </w:rPr>
        <w:t>二〇二一年一月</w:t>
      </w:r>
    </w:p>
    <w:p w14:paraId="289EE969">
      <w:pPr>
        <w:pStyle w:val="12"/>
        <w:rPr>
          <w:rFonts w:hint="eastAsia"/>
          <w:lang w:val="en-US" w:eastAsia="zh-CN"/>
        </w:rPr>
        <w:sectPr>
          <w:pgSz w:w="11906" w:h="16838"/>
          <w:pgMar w:top="1440" w:right="1800" w:bottom="1440" w:left="1800" w:header="851" w:footer="992" w:gutter="0"/>
          <w:pgNumType w:start="1"/>
          <w:cols w:space="425" w:num="1"/>
          <w:docGrid w:type="lines" w:linePitch="312" w:charSpace="0"/>
        </w:sectPr>
      </w:pPr>
    </w:p>
    <w:p w14:paraId="75237FCE">
      <w:pPr>
        <w:pStyle w:val="1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p>
    <w:sdt>
      <w:sdtPr>
        <w:rPr>
          <w:rFonts w:ascii="宋体" w:hAnsi="宋体" w:eastAsia="宋体" w:cs="Times New Roman"/>
          <w:kern w:val="2"/>
          <w:sz w:val="21"/>
          <w:szCs w:val="22"/>
          <w:lang w:val="en-US" w:eastAsia="zh-CN" w:bidi="ar-SA"/>
        </w:rPr>
        <w:id w:val="147454172"/>
        <w15:color w:val="DBDBDB"/>
        <w:docPartObj>
          <w:docPartGallery w:val="Table of Contents"/>
          <w:docPartUnique/>
        </w:docPartObj>
      </w:sdtPr>
      <w:sdtEndPr>
        <w:rPr>
          <w:rFonts w:hint="eastAsia" w:ascii="Times New Roman" w:hAnsi="Times New Roman" w:eastAsia="仿宋_GB2312" w:cs="Times New Roman"/>
          <w:b/>
          <w:color w:val="auto"/>
          <w:kern w:val="2"/>
          <w:sz w:val="32"/>
          <w:szCs w:val="24"/>
          <w:lang w:val="en-US" w:eastAsia="zh-CN" w:bidi="ar-SA"/>
        </w:rPr>
      </w:sdtEndPr>
      <w:sdtContent>
        <w:p w14:paraId="790198E6">
          <w:pPr>
            <w:keepNext w:val="0"/>
            <w:keepLines w:val="0"/>
            <w:pageBreakBefore w:val="0"/>
            <w:widowControl w:val="0"/>
            <w:kinsoku/>
            <w:wordWrap/>
            <w:overflowPunct/>
            <w:topLinePunct w:val="0"/>
            <w:autoSpaceDE/>
            <w:autoSpaceDN/>
            <w:bidi w:val="0"/>
            <w:adjustRightInd/>
            <w:snapToGrid/>
            <w:spacing w:before="0" w:beforeLines="0" w:after="157" w:afterLines="50" w:line="360" w:lineRule="auto"/>
            <w:ind w:left="0" w:leftChars="0" w:right="0" w:rightChars="0" w:firstLine="0" w:firstLineChars="0"/>
            <w:jc w:val="center"/>
            <w:textAlignment w:val="auto"/>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79A5BC3B">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8"/>
              <w:szCs w:val="28"/>
              <w:lang w:eastAsia="zh-CN"/>
            </w:rPr>
            <w:fldChar w:fldCharType="begin"/>
          </w:r>
          <w:r>
            <w:rPr>
              <w:rFonts w:hint="eastAsia" w:ascii="Times New Roman" w:hAnsi="Times New Roman" w:cs="Times New Roman"/>
              <w:color w:val="auto"/>
              <w:sz w:val="28"/>
              <w:szCs w:val="28"/>
              <w:lang w:eastAsia="zh-CN"/>
            </w:rPr>
            <w:instrText xml:space="preserve">TOC \o "1-2" \h \u </w:instrText>
          </w:r>
          <w:r>
            <w:rPr>
              <w:rFonts w:hint="eastAsia" w:ascii="Times New Roman" w:hAnsi="Times New Roman" w:cs="Times New Roman"/>
              <w:color w:val="auto"/>
              <w:sz w:val="28"/>
              <w:szCs w:val="28"/>
              <w:lang w:eastAsia="zh-CN"/>
            </w:rPr>
            <w:fldChar w:fldCharType="separate"/>
          </w: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_Toc31160 </w:instrText>
          </w:r>
          <w:r>
            <w:rPr>
              <w:rFonts w:hint="eastAsia" w:ascii="Times New Roman" w:hAnsi="Times New Roman" w:cs="Times New Roman"/>
              <w:sz w:val="24"/>
              <w:szCs w:val="28"/>
              <w:lang w:eastAsia="zh-CN"/>
            </w:rPr>
            <w:fldChar w:fldCharType="separate"/>
          </w:r>
          <w:r>
            <w:rPr>
              <w:rFonts w:hint="eastAsia" w:ascii="黑体" w:hAnsi="黑体" w:eastAsia="黑体" w:cs="黑体"/>
              <w:sz w:val="24"/>
              <w:szCs w:val="32"/>
            </w:rPr>
            <w:t>第一章 指导思想和主要目标</w:t>
          </w:r>
          <w:r>
            <w:rPr>
              <w:sz w:val="24"/>
            </w:rPr>
            <w:tab/>
          </w:r>
          <w:r>
            <w:rPr>
              <w:sz w:val="24"/>
            </w:rPr>
            <w:fldChar w:fldCharType="begin"/>
          </w:r>
          <w:r>
            <w:rPr>
              <w:sz w:val="24"/>
            </w:rPr>
            <w:instrText xml:space="preserve"> PAGEREF _Toc31160 \h </w:instrText>
          </w:r>
          <w:r>
            <w:rPr>
              <w:sz w:val="24"/>
            </w:rPr>
            <w:fldChar w:fldCharType="separate"/>
          </w:r>
          <w:r>
            <w:rPr>
              <w:sz w:val="24"/>
            </w:rPr>
            <w:t>2</w:t>
          </w:r>
          <w:r>
            <w:rPr>
              <w:sz w:val="24"/>
            </w:rPr>
            <w:fldChar w:fldCharType="end"/>
          </w:r>
          <w:r>
            <w:rPr>
              <w:rFonts w:hint="eastAsia" w:ascii="Times New Roman" w:hAnsi="Times New Roman" w:cs="Times New Roman"/>
              <w:color w:val="auto"/>
              <w:sz w:val="24"/>
              <w:szCs w:val="28"/>
              <w:lang w:eastAsia="zh-CN"/>
            </w:rPr>
            <w:fldChar w:fldCharType="end"/>
          </w:r>
        </w:p>
        <w:p w14:paraId="5BDD9B46">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_Toc25316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第一节 发展基础</w:t>
          </w:r>
          <w:r>
            <w:rPr>
              <w:sz w:val="24"/>
            </w:rPr>
            <w:tab/>
          </w:r>
          <w:r>
            <w:rPr>
              <w:sz w:val="24"/>
            </w:rPr>
            <w:fldChar w:fldCharType="begin"/>
          </w:r>
          <w:r>
            <w:rPr>
              <w:sz w:val="24"/>
            </w:rPr>
            <w:instrText xml:space="preserve"> PAGEREF _Toc25316 \h </w:instrText>
          </w:r>
          <w:r>
            <w:rPr>
              <w:sz w:val="24"/>
            </w:rPr>
            <w:fldChar w:fldCharType="separate"/>
          </w:r>
          <w:r>
            <w:rPr>
              <w:sz w:val="24"/>
            </w:rPr>
            <w:t>2</w:t>
          </w:r>
          <w:r>
            <w:rPr>
              <w:sz w:val="24"/>
            </w:rPr>
            <w:fldChar w:fldCharType="end"/>
          </w:r>
          <w:r>
            <w:rPr>
              <w:rFonts w:hint="eastAsia" w:ascii="Times New Roman" w:hAnsi="Times New Roman" w:cs="Times New Roman"/>
              <w:color w:val="auto"/>
              <w:sz w:val="24"/>
              <w:szCs w:val="28"/>
              <w:lang w:eastAsia="zh-CN"/>
            </w:rPr>
            <w:fldChar w:fldCharType="end"/>
          </w:r>
        </w:p>
        <w:p w14:paraId="16449FB0">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_Toc21116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 xml:space="preserve">第二节 </w:t>
          </w:r>
          <w:r>
            <w:rPr>
              <w:rFonts w:hint="eastAsia" w:ascii="宋体" w:hAnsi="宋体" w:eastAsia="宋体" w:cs="宋体"/>
              <w:sz w:val="24"/>
            </w:rPr>
            <w:t>面临</w:t>
          </w:r>
          <w:r>
            <w:rPr>
              <w:rFonts w:hint="eastAsia" w:ascii="宋体" w:hAnsi="宋体" w:eastAsia="宋体" w:cs="宋体"/>
              <w:sz w:val="24"/>
              <w:lang w:val="en-US" w:eastAsia="zh-CN"/>
            </w:rPr>
            <w:t>挑战</w:t>
          </w:r>
          <w:r>
            <w:rPr>
              <w:sz w:val="24"/>
            </w:rPr>
            <w:tab/>
          </w:r>
          <w:r>
            <w:rPr>
              <w:sz w:val="24"/>
            </w:rPr>
            <w:fldChar w:fldCharType="begin"/>
          </w:r>
          <w:r>
            <w:rPr>
              <w:sz w:val="24"/>
            </w:rPr>
            <w:instrText xml:space="preserve"> PAGEREF _Toc21116 \h </w:instrText>
          </w:r>
          <w:r>
            <w:rPr>
              <w:sz w:val="24"/>
            </w:rPr>
            <w:fldChar w:fldCharType="separate"/>
          </w:r>
          <w:r>
            <w:rPr>
              <w:sz w:val="24"/>
            </w:rPr>
            <w:t>6</w:t>
          </w:r>
          <w:r>
            <w:rPr>
              <w:sz w:val="24"/>
            </w:rPr>
            <w:fldChar w:fldCharType="end"/>
          </w:r>
          <w:r>
            <w:rPr>
              <w:rFonts w:hint="eastAsia" w:ascii="Times New Roman" w:hAnsi="Times New Roman" w:cs="Times New Roman"/>
              <w:color w:val="auto"/>
              <w:sz w:val="24"/>
              <w:szCs w:val="28"/>
              <w:lang w:eastAsia="zh-CN"/>
            </w:rPr>
            <w:fldChar w:fldCharType="end"/>
          </w:r>
        </w:p>
        <w:p w14:paraId="6BB4DF93">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_Toc15246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第三节 指导思想</w:t>
          </w:r>
          <w:r>
            <w:rPr>
              <w:sz w:val="24"/>
            </w:rPr>
            <w:tab/>
          </w:r>
          <w:r>
            <w:rPr>
              <w:sz w:val="24"/>
            </w:rPr>
            <w:fldChar w:fldCharType="begin"/>
          </w:r>
          <w:r>
            <w:rPr>
              <w:sz w:val="24"/>
            </w:rPr>
            <w:instrText xml:space="preserve"> PAGEREF _Toc15246 \h </w:instrText>
          </w:r>
          <w:r>
            <w:rPr>
              <w:sz w:val="24"/>
            </w:rPr>
            <w:fldChar w:fldCharType="separate"/>
          </w:r>
          <w:r>
            <w:rPr>
              <w:sz w:val="24"/>
            </w:rPr>
            <w:t>7</w:t>
          </w:r>
          <w:r>
            <w:rPr>
              <w:sz w:val="24"/>
            </w:rPr>
            <w:fldChar w:fldCharType="end"/>
          </w:r>
          <w:r>
            <w:rPr>
              <w:rFonts w:hint="eastAsia" w:ascii="Times New Roman" w:hAnsi="Times New Roman" w:cs="Times New Roman"/>
              <w:color w:val="auto"/>
              <w:sz w:val="24"/>
              <w:szCs w:val="28"/>
              <w:lang w:eastAsia="zh-CN"/>
            </w:rPr>
            <w:fldChar w:fldCharType="end"/>
          </w:r>
        </w:p>
        <w:p w14:paraId="2BC43DE2">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_Toc27961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第四节 基本原则</w:t>
          </w:r>
          <w:r>
            <w:rPr>
              <w:sz w:val="24"/>
            </w:rPr>
            <w:tab/>
          </w:r>
          <w:r>
            <w:rPr>
              <w:sz w:val="24"/>
            </w:rPr>
            <w:fldChar w:fldCharType="begin"/>
          </w:r>
          <w:r>
            <w:rPr>
              <w:sz w:val="24"/>
            </w:rPr>
            <w:instrText xml:space="preserve"> PAGEREF _Toc27961 \h </w:instrText>
          </w:r>
          <w:r>
            <w:rPr>
              <w:sz w:val="24"/>
            </w:rPr>
            <w:fldChar w:fldCharType="separate"/>
          </w:r>
          <w:r>
            <w:rPr>
              <w:sz w:val="24"/>
            </w:rPr>
            <w:t>8</w:t>
          </w:r>
          <w:r>
            <w:rPr>
              <w:sz w:val="24"/>
            </w:rPr>
            <w:fldChar w:fldCharType="end"/>
          </w:r>
          <w:r>
            <w:rPr>
              <w:rFonts w:hint="eastAsia" w:ascii="Times New Roman" w:hAnsi="Times New Roman" w:cs="Times New Roman"/>
              <w:color w:val="auto"/>
              <w:sz w:val="24"/>
              <w:szCs w:val="28"/>
              <w:lang w:eastAsia="zh-CN"/>
            </w:rPr>
            <w:fldChar w:fldCharType="end"/>
          </w:r>
        </w:p>
        <w:p w14:paraId="3540F813">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_Toc5190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第五节 发展目标</w:t>
          </w:r>
          <w:r>
            <w:rPr>
              <w:sz w:val="24"/>
            </w:rPr>
            <w:tab/>
          </w:r>
          <w:r>
            <w:rPr>
              <w:sz w:val="24"/>
            </w:rPr>
            <w:fldChar w:fldCharType="begin"/>
          </w:r>
          <w:r>
            <w:rPr>
              <w:sz w:val="24"/>
            </w:rPr>
            <w:instrText xml:space="preserve"> PAGEREF _Toc5190 \h </w:instrText>
          </w:r>
          <w:r>
            <w:rPr>
              <w:sz w:val="24"/>
            </w:rPr>
            <w:fldChar w:fldCharType="separate"/>
          </w:r>
          <w:r>
            <w:rPr>
              <w:sz w:val="24"/>
            </w:rPr>
            <w:t>9</w:t>
          </w:r>
          <w:r>
            <w:rPr>
              <w:sz w:val="24"/>
            </w:rPr>
            <w:fldChar w:fldCharType="end"/>
          </w:r>
          <w:r>
            <w:rPr>
              <w:rFonts w:hint="eastAsia" w:ascii="Times New Roman" w:hAnsi="Times New Roman" w:cs="Times New Roman"/>
              <w:color w:val="auto"/>
              <w:sz w:val="24"/>
              <w:szCs w:val="28"/>
              <w:lang w:eastAsia="zh-CN"/>
            </w:rPr>
            <w:fldChar w:fldCharType="end"/>
          </w:r>
        </w:p>
        <w:p w14:paraId="01066EE7">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_Toc8935 </w:instrText>
          </w:r>
          <w:r>
            <w:rPr>
              <w:rFonts w:hint="eastAsia" w:ascii="Times New Roman" w:hAnsi="Times New Roman" w:cs="Times New Roman"/>
              <w:sz w:val="24"/>
              <w:szCs w:val="28"/>
              <w:lang w:eastAsia="zh-CN"/>
            </w:rPr>
            <w:fldChar w:fldCharType="separate"/>
          </w:r>
          <w:r>
            <w:rPr>
              <w:rFonts w:hint="eastAsia" w:ascii="黑体" w:hAnsi="黑体" w:eastAsia="黑体" w:cs="黑体"/>
              <w:bCs/>
              <w:sz w:val="24"/>
              <w:szCs w:val="32"/>
              <w:lang w:val="en-US" w:eastAsia="zh-CN"/>
            </w:rPr>
            <w:t>第二章 不断提升就业服务供给水平，促进更加充分更高质量就业</w:t>
          </w:r>
          <w:r>
            <w:rPr>
              <w:sz w:val="24"/>
            </w:rPr>
            <w:tab/>
          </w:r>
          <w:r>
            <w:rPr>
              <w:sz w:val="24"/>
            </w:rPr>
            <w:fldChar w:fldCharType="begin"/>
          </w:r>
          <w:r>
            <w:rPr>
              <w:sz w:val="24"/>
            </w:rPr>
            <w:instrText xml:space="preserve"> PAGEREF _Toc8935 \h </w:instrText>
          </w:r>
          <w:r>
            <w:rPr>
              <w:sz w:val="24"/>
            </w:rPr>
            <w:fldChar w:fldCharType="separate"/>
          </w:r>
          <w:r>
            <w:rPr>
              <w:sz w:val="24"/>
            </w:rPr>
            <w:t>12</w:t>
          </w:r>
          <w:r>
            <w:rPr>
              <w:sz w:val="24"/>
            </w:rPr>
            <w:fldChar w:fldCharType="end"/>
          </w:r>
          <w:r>
            <w:rPr>
              <w:rFonts w:hint="eastAsia" w:ascii="Times New Roman" w:hAnsi="Times New Roman" w:cs="Times New Roman"/>
              <w:color w:val="auto"/>
              <w:sz w:val="24"/>
              <w:szCs w:val="28"/>
              <w:lang w:eastAsia="zh-CN"/>
            </w:rPr>
            <w:fldChar w:fldCharType="end"/>
          </w:r>
        </w:p>
        <w:p w14:paraId="06ACC9EC">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_Toc985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第一节 健全就业优先政策体系</w:t>
          </w:r>
          <w:r>
            <w:rPr>
              <w:sz w:val="24"/>
            </w:rPr>
            <w:tab/>
          </w:r>
          <w:r>
            <w:rPr>
              <w:sz w:val="24"/>
            </w:rPr>
            <w:fldChar w:fldCharType="begin"/>
          </w:r>
          <w:r>
            <w:rPr>
              <w:sz w:val="24"/>
            </w:rPr>
            <w:instrText xml:space="preserve"> PAGEREF _Toc985 \h </w:instrText>
          </w:r>
          <w:r>
            <w:rPr>
              <w:sz w:val="24"/>
            </w:rPr>
            <w:fldChar w:fldCharType="separate"/>
          </w:r>
          <w:r>
            <w:rPr>
              <w:sz w:val="24"/>
            </w:rPr>
            <w:t>12</w:t>
          </w:r>
          <w:r>
            <w:rPr>
              <w:sz w:val="24"/>
            </w:rPr>
            <w:fldChar w:fldCharType="end"/>
          </w:r>
          <w:r>
            <w:rPr>
              <w:rFonts w:hint="eastAsia" w:ascii="Times New Roman" w:hAnsi="Times New Roman" w:cs="Times New Roman"/>
              <w:color w:val="auto"/>
              <w:sz w:val="24"/>
              <w:szCs w:val="28"/>
              <w:lang w:eastAsia="zh-CN"/>
            </w:rPr>
            <w:fldChar w:fldCharType="end"/>
          </w:r>
        </w:p>
        <w:p w14:paraId="76D8BF51">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_Toc12782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w:t>
          </w:r>
          <w:r>
            <w:rPr>
              <w:rFonts w:hint="eastAsia" w:ascii="宋体" w:hAnsi="宋体" w:eastAsia="宋体" w:cs="宋体"/>
              <w:sz w:val="24"/>
              <w:lang w:val="en-US" w:eastAsia="zh-CN"/>
            </w:rPr>
            <w:t>二</w:t>
          </w:r>
          <w:r>
            <w:rPr>
              <w:rFonts w:hint="eastAsia" w:ascii="宋体" w:hAnsi="宋体" w:eastAsia="宋体" w:cs="宋体"/>
              <w:sz w:val="24"/>
            </w:rPr>
            <w:t>节 统筹做好重点群体就业</w:t>
          </w:r>
          <w:r>
            <w:rPr>
              <w:sz w:val="24"/>
            </w:rPr>
            <w:tab/>
          </w:r>
          <w:r>
            <w:rPr>
              <w:sz w:val="24"/>
            </w:rPr>
            <w:fldChar w:fldCharType="begin"/>
          </w:r>
          <w:r>
            <w:rPr>
              <w:sz w:val="24"/>
            </w:rPr>
            <w:instrText xml:space="preserve"> PAGEREF _Toc12782 \h </w:instrText>
          </w:r>
          <w:r>
            <w:rPr>
              <w:sz w:val="24"/>
            </w:rPr>
            <w:fldChar w:fldCharType="separate"/>
          </w:r>
          <w:r>
            <w:rPr>
              <w:sz w:val="24"/>
            </w:rPr>
            <w:t>14</w:t>
          </w:r>
          <w:r>
            <w:rPr>
              <w:sz w:val="24"/>
            </w:rPr>
            <w:fldChar w:fldCharType="end"/>
          </w:r>
          <w:r>
            <w:rPr>
              <w:rFonts w:hint="eastAsia" w:ascii="Times New Roman" w:hAnsi="Times New Roman" w:cs="Times New Roman"/>
              <w:color w:val="auto"/>
              <w:sz w:val="24"/>
              <w:szCs w:val="28"/>
              <w:lang w:eastAsia="zh-CN"/>
            </w:rPr>
            <w:fldChar w:fldCharType="end"/>
          </w:r>
        </w:p>
        <w:p w14:paraId="59BC9BEF">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_Toc3744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节 促进创业带动就业</w:t>
          </w:r>
          <w:r>
            <w:rPr>
              <w:sz w:val="24"/>
            </w:rPr>
            <w:tab/>
          </w:r>
          <w:r>
            <w:rPr>
              <w:sz w:val="24"/>
            </w:rPr>
            <w:fldChar w:fldCharType="begin"/>
          </w:r>
          <w:r>
            <w:rPr>
              <w:sz w:val="24"/>
            </w:rPr>
            <w:instrText xml:space="preserve"> PAGEREF _Toc3744 \h </w:instrText>
          </w:r>
          <w:r>
            <w:rPr>
              <w:sz w:val="24"/>
            </w:rPr>
            <w:fldChar w:fldCharType="separate"/>
          </w:r>
          <w:r>
            <w:rPr>
              <w:sz w:val="24"/>
            </w:rPr>
            <w:t>16</w:t>
          </w:r>
          <w:r>
            <w:rPr>
              <w:sz w:val="24"/>
            </w:rPr>
            <w:fldChar w:fldCharType="end"/>
          </w:r>
          <w:r>
            <w:rPr>
              <w:rFonts w:hint="eastAsia" w:ascii="Times New Roman" w:hAnsi="Times New Roman" w:cs="Times New Roman"/>
              <w:color w:val="auto"/>
              <w:sz w:val="24"/>
              <w:szCs w:val="28"/>
              <w:lang w:eastAsia="zh-CN"/>
            </w:rPr>
            <w:fldChar w:fldCharType="end"/>
          </w:r>
        </w:p>
        <w:p w14:paraId="6FBF0005">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rPr>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HYPERLINK \l _Toc30378 </w:instrText>
          </w:r>
          <w:r>
            <w:rPr>
              <w:rFonts w:hint="eastAsia" w:ascii="宋体" w:hAnsi="宋体" w:eastAsia="宋体" w:cs="宋体"/>
              <w:sz w:val="24"/>
              <w:lang w:eastAsia="zh-CN"/>
            </w:rPr>
            <w:fldChar w:fldCharType="separate"/>
          </w:r>
          <w:r>
            <w:rPr>
              <w:rFonts w:hint="eastAsia" w:ascii="宋体" w:hAnsi="宋体" w:eastAsia="宋体" w:cs="宋体"/>
              <w:sz w:val="24"/>
              <w:lang w:val="en-US" w:eastAsia="zh-CN"/>
            </w:rPr>
            <w:t>第四节 建设高标准人力资源市场体系</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_Toc30378 \h </w:instrText>
          </w:r>
          <w:r>
            <w:rPr>
              <w:rFonts w:hint="eastAsia" w:ascii="宋体" w:hAnsi="宋体" w:eastAsia="宋体" w:cs="宋体"/>
              <w:sz w:val="24"/>
            </w:rPr>
            <w:fldChar w:fldCharType="separate"/>
          </w:r>
          <w:r>
            <w:rPr>
              <w:rFonts w:hint="eastAsia" w:ascii="宋体" w:hAnsi="宋体" w:eastAsia="宋体" w:cs="宋体"/>
              <w:sz w:val="24"/>
            </w:rPr>
            <w:t>18</w:t>
          </w:r>
          <w:r>
            <w:rPr>
              <w:rFonts w:hint="eastAsia" w:ascii="宋体" w:hAnsi="宋体" w:eastAsia="宋体" w:cs="宋体"/>
              <w:sz w:val="24"/>
            </w:rPr>
            <w:fldChar w:fldCharType="end"/>
          </w:r>
          <w:r>
            <w:rPr>
              <w:rFonts w:hint="eastAsia" w:ascii="宋体" w:hAnsi="宋体" w:eastAsia="宋体" w:cs="宋体"/>
              <w:sz w:val="24"/>
              <w:lang w:eastAsia="zh-CN"/>
            </w:rPr>
            <w:fldChar w:fldCharType="end"/>
          </w:r>
        </w:p>
        <w:p w14:paraId="3B218D0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_Toc27484 </w:instrText>
          </w:r>
          <w:r>
            <w:rPr>
              <w:rFonts w:hint="eastAsia" w:ascii="Times New Roman" w:hAnsi="Times New Roman" w:cs="Times New Roman"/>
              <w:sz w:val="24"/>
              <w:szCs w:val="28"/>
              <w:lang w:eastAsia="zh-CN"/>
            </w:rPr>
            <w:fldChar w:fldCharType="separate"/>
          </w:r>
          <w:r>
            <w:rPr>
              <w:rFonts w:hint="eastAsia" w:ascii="黑体" w:hAnsi="黑体" w:eastAsia="黑体" w:cs="黑体"/>
              <w:bCs/>
              <w:sz w:val="24"/>
              <w:szCs w:val="32"/>
              <w:lang w:val="en-US" w:eastAsia="zh-CN"/>
            </w:rPr>
            <w:t>第三章 大力实施人才强市战略，充分发挥人才富集优势</w:t>
          </w:r>
          <w:r>
            <w:rPr>
              <w:sz w:val="24"/>
            </w:rPr>
            <w:tab/>
          </w:r>
          <w:r>
            <w:rPr>
              <w:sz w:val="24"/>
            </w:rPr>
            <w:fldChar w:fldCharType="begin"/>
          </w:r>
          <w:r>
            <w:rPr>
              <w:sz w:val="24"/>
            </w:rPr>
            <w:instrText xml:space="preserve"> PAGEREF _Toc27484 \h </w:instrText>
          </w:r>
          <w:r>
            <w:rPr>
              <w:sz w:val="24"/>
            </w:rPr>
            <w:fldChar w:fldCharType="separate"/>
          </w:r>
          <w:r>
            <w:rPr>
              <w:sz w:val="24"/>
            </w:rPr>
            <w:t>20</w:t>
          </w:r>
          <w:r>
            <w:rPr>
              <w:sz w:val="24"/>
            </w:rPr>
            <w:fldChar w:fldCharType="end"/>
          </w:r>
          <w:r>
            <w:rPr>
              <w:rFonts w:hint="eastAsia" w:ascii="Times New Roman" w:hAnsi="Times New Roman" w:cs="Times New Roman"/>
              <w:color w:val="auto"/>
              <w:sz w:val="24"/>
              <w:szCs w:val="28"/>
              <w:lang w:eastAsia="zh-CN"/>
            </w:rPr>
            <w:fldChar w:fldCharType="end"/>
          </w:r>
        </w:p>
        <w:p w14:paraId="5E2DFF49">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_Toc20806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w:t>
          </w:r>
          <w:r>
            <w:rPr>
              <w:rFonts w:hint="eastAsia" w:ascii="宋体" w:hAnsi="宋体" w:eastAsia="宋体" w:cs="宋体"/>
              <w:sz w:val="24"/>
              <w:lang w:val="en-US" w:eastAsia="zh-CN"/>
            </w:rPr>
            <w:t>一</w:t>
          </w:r>
          <w:r>
            <w:rPr>
              <w:rFonts w:hint="eastAsia" w:ascii="宋体" w:hAnsi="宋体" w:eastAsia="宋体" w:cs="宋体"/>
              <w:sz w:val="24"/>
            </w:rPr>
            <w:t>节 推进</w:t>
          </w:r>
          <w:r>
            <w:rPr>
              <w:rFonts w:hint="eastAsia" w:ascii="宋体" w:hAnsi="宋体" w:eastAsia="宋体" w:cs="宋体"/>
              <w:sz w:val="24"/>
              <w:lang w:val="en-US" w:eastAsia="zh-CN"/>
            </w:rPr>
            <w:t>建设高质量</w:t>
          </w:r>
          <w:r>
            <w:rPr>
              <w:rFonts w:hint="eastAsia" w:ascii="宋体" w:hAnsi="宋体" w:eastAsia="宋体" w:cs="宋体"/>
              <w:sz w:val="24"/>
              <w:lang w:eastAsia="zh-CN"/>
            </w:rPr>
            <w:t>“</w:t>
          </w:r>
          <w:r>
            <w:rPr>
              <w:rFonts w:hint="eastAsia" w:ascii="宋体" w:hAnsi="宋体" w:eastAsia="宋体" w:cs="宋体"/>
              <w:sz w:val="24"/>
            </w:rPr>
            <w:t>人人持证</w:t>
          </w:r>
          <w:r>
            <w:rPr>
              <w:rFonts w:hint="eastAsia" w:ascii="宋体" w:hAnsi="宋体" w:eastAsia="宋体" w:cs="宋体"/>
              <w:sz w:val="24"/>
              <w:lang w:eastAsia="zh-CN"/>
            </w:rPr>
            <w:t>、</w:t>
          </w:r>
          <w:r>
            <w:rPr>
              <w:rFonts w:hint="eastAsia" w:ascii="宋体" w:hAnsi="宋体" w:eastAsia="宋体" w:cs="宋体"/>
              <w:sz w:val="24"/>
            </w:rPr>
            <w:t>技能社会</w:t>
          </w:r>
          <w:r>
            <w:rPr>
              <w:rFonts w:hint="eastAsia" w:ascii="宋体" w:hAnsi="宋体" w:eastAsia="宋体" w:cs="宋体"/>
              <w:sz w:val="24"/>
              <w:lang w:eastAsia="zh-CN"/>
            </w:rPr>
            <w:t>”</w:t>
          </w:r>
          <w:r>
            <w:rPr>
              <w:sz w:val="24"/>
            </w:rPr>
            <w:tab/>
          </w:r>
          <w:r>
            <w:rPr>
              <w:sz w:val="24"/>
            </w:rPr>
            <w:fldChar w:fldCharType="begin"/>
          </w:r>
          <w:r>
            <w:rPr>
              <w:sz w:val="24"/>
            </w:rPr>
            <w:instrText xml:space="preserve"> PAGEREF _Toc20806 \h </w:instrText>
          </w:r>
          <w:r>
            <w:rPr>
              <w:sz w:val="24"/>
            </w:rPr>
            <w:fldChar w:fldCharType="separate"/>
          </w:r>
          <w:r>
            <w:rPr>
              <w:sz w:val="24"/>
            </w:rPr>
            <w:t>20</w:t>
          </w:r>
          <w:r>
            <w:rPr>
              <w:sz w:val="24"/>
            </w:rPr>
            <w:fldChar w:fldCharType="end"/>
          </w:r>
          <w:r>
            <w:rPr>
              <w:rFonts w:hint="eastAsia" w:ascii="Times New Roman" w:hAnsi="Times New Roman" w:cs="Times New Roman"/>
              <w:color w:val="auto"/>
              <w:sz w:val="24"/>
              <w:szCs w:val="28"/>
              <w:lang w:eastAsia="zh-CN"/>
            </w:rPr>
            <w:fldChar w:fldCharType="end"/>
          </w:r>
        </w:p>
        <w:p w14:paraId="6762C970">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_Toc13368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第二节 加强专业技术人才队伍建设</w:t>
          </w:r>
          <w:r>
            <w:rPr>
              <w:sz w:val="24"/>
            </w:rPr>
            <w:tab/>
          </w:r>
          <w:r>
            <w:rPr>
              <w:sz w:val="24"/>
            </w:rPr>
            <w:fldChar w:fldCharType="begin"/>
          </w:r>
          <w:r>
            <w:rPr>
              <w:sz w:val="24"/>
            </w:rPr>
            <w:instrText xml:space="preserve"> PAGEREF _Toc13368 \h </w:instrText>
          </w:r>
          <w:r>
            <w:rPr>
              <w:sz w:val="24"/>
            </w:rPr>
            <w:fldChar w:fldCharType="separate"/>
          </w:r>
          <w:r>
            <w:rPr>
              <w:sz w:val="24"/>
            </w:rPr>
            <w:t>23</w:t>
          </w:r>
          <w:r>
            <w:rPr>
              <w:sz w:val="24"/>
            </w:rPr>
            <w:fldChar w:fldCharType="end"/>
          </w:r>
          <w:r>
            <w:rPr>
              <w:rFonts w:hint="eastAsia" w:ascii="Times New Roman" w:hAnsi="Times New Roman" w:cs="Times New Roman"/>
              <w:color w:val="auto"/>
              <w:sz w:val="24"/>
              <w:szCs w:val="28"/>
              <w:lang w:eastAsia="zh-CN"/>
            </w:rPr>
            <w:fldChar w:fldCharType="end"/>
          </w:r>
        </w:p>
        <w:p w14:paraId="3BF66760">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_Toc27461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第三节 加大高层次人才引进力度</w:t>
          </w:r>
          <w:r>
            <w:rPr>
              <w:sz w:val="24"/>
            </w:rPr>
            <w:tab/>
          </w:r>
          <w:r>
            <w:rPr>
              <w:sz w:val="24"/>
            </w:rPr>
            <w:fldChar w:fldCharType="begin"/>
          </w:r>
          <w:r>
            <w:rPr>
              <w:sz w:val="24"/>
            </w:rPr>
            <w:instrText xml:space="preserve"> PAGEREF _Toc27461 \h </w:instrText>
          </w:r>
          <w:r>
            <w:rPr>
              <w:sz w:val="24"/>
            </w:rPr>
            <w:fldChar w:fldCharType="separate"/>
          </w:r>
          <w:r>
            <w:rPr>
              <w:sz w:val="24"/>
            </w:rPr>
            <w:t>24</w:t>
          </w:r>
          <w:r>
            <w:rPr>
              <w:sz w:val="24"/>
            </w:rPr>
            <w:fldChar w:fldCharType="end"/>
          </w:r>
          <w:r>
            <w:rPr>
              <w:rFonts w:hint="eastAsia" w:ascii="Times New Roman" w:hAnsi="Times New Roman" w:cs="Times New Roman"/>
              <w:color w:val="auto"/>
              <w:sz w:val="24"/>
              <w:szCs w:val="28"/>
              <w:lang w:eastAsia="zh-CN"/>
            </w:rPr>
            <w:fldChar w:fldCharType="end"/>
          </w:r>
        </w:p>
        <w:p w14:paraId="55579186">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_Toc3234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第四节 健全人事人才管理制度</w:t>
          </w:r>
          <w:r>
            <w:rPr>
              <w:sz w:val="24"/>
            </w:rPr>
            <w:tab/>
          </w:r>
          <w:r>
            <w:rPr>
              <w:sz w:val="24"/>
            </w:rPr>
            <w:fldChar w:fldCharType="begin"/>
          </w:r>
          <w:r>
            <w:rPr>
              <w:sz w:val="24"/>
            </w:rPr>
            <w:instrText xml:space="preserve"> PAGEREF _Toc3234 \h </w:instrText>
          </w:r>
          <w:r>
            <w:rPr>
              <w:sz w:val="24"/>
            </w:rPr>
            <w:fldChar w:fldCharType="separate"/>
          </w:r>
          <w:r>
            <w:rPr>
              <w:sz w:val="24"/>
            </w:rPr>
            <w:t>26</w:t>
          </w:r>
          <w:r>
            <w:rPr>
              <w:sz w:val="24"/>
            </w:rPr>
            <w:fldChar w:fldCharType="end"/>
          </w:r>
          <w:r>
            <w:rPr>
              <w:rFonts w:hint="eastAsia" w:ascii="Times New Roman" w:hAnsi="Times New Roman" w:cs="Times New Roman"/>
              <w:color w:val="auto"/>
              <w:sz w:val="24"/>
              <w:szCs w:val="28"/>
              <w:lang w:eastAsia="zh-CN"/>
            </w:rPr>
            <w:fldChar w:fldCharType="end"/>
          </w:r>
        </w:p>
        <w:p w14:paraId="3783C361">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_Toc25198 </w:instrText>
          </w:r>
          <w:r>
            <w:rPr>
              <w:rFonts w:hint="eastAsia" w:ascii="Times New Roman" w:hAnsi="Times New Roman" w:cs="Times New Roman"/>
              <w:sz w:val="24"/>
              <w:szCs w:val="28"/>
              <w:lang w:eastAsia="zh-CN"/>
            </w:rPr>
            <w:fldChar w:fldCharType="separate"/>
          </w:r>
          <w:r>
            <w:rPr>
              <w:rFonts w:hint="eastAsia" w:ascii="黑体" w:hAnsi="黑体" w:eastAsia="黑体" w:cs="黑体"/>
              <w:bCs/>
              <w:sz w:val="24"/>
              <w:szCs w:val="32"/>
              <w:lang w:val="en-US" w:eastAsia="zh-CN"/>
            </w:rPr>
            <w:t>第四章 持续</w:t>
          </w:r>
          <w:r>
            <w:rPr>
              <w:rFonts w:hint="eastAsia" w:ascii="黑体" w:hAnsi="黑体" w:eastAsia="黑体" w:cs="黑体"/>
              <w:bCs/>
              <w:sz w:val="24"/>
              <w:szCs w:val="32"/>
            </w:rPr>
            <w:t>健全多层次社会保障体系</w:t>
          </w:r>
          <w:r>
            <w:rPr>
              <w:rFonts w:hint="eastAsia" w:ascii="黑体" w:hAnsi="黑体" w:eastAsia="黑体" w:cs="黑体"/>
              <w:bCs/>
              <w:sz w:val="24"/>
              <w:szCs w:val="32"/>
              <w:lang w:eastAsia="zh-CN"/>
            </w:rPr>
            <w:t>，</w:t>
          </w:r>
          <w:r>
            <w:rPr>
              <w:rFonts w:hint="eastAsia" w:ascii="黑体" w:hAnsi="黑体" w:eastAsia="黑体" w:cs="黑体"/>
              <w:bCs/>
              <w:sz w:val="24"/>
              <w:szCs w:val="32"/>
              <w:lang w:val="en-US" w:eastAsia="zh-CN"/>
            </w:rPr>
            <w:t>满足人民群众多样化保障需求</w:t>
          </w:r>
          <w:r>
            <w:rPr>
              <w:sz w:val="24"/>
            </w:rPr>
            <w:tab/>
          </w:r>
          <w:r>
            <w:rPr>
              <w:sz w:val="24"/>
            </w:rPr>
            <w:fldChar w:fldCharType="begin"/>
          </w:r>
          <w:r>
            <w:rPr>
              <w:sz w:val="24"/>
            </w:rPr>
            <w:instrText xml:space="preserve"> PAGEREF _Toc25198 \h </w:instrText>
          </w:r>
          <w:r>
            <w:rPr>
              <w:sz w:val="24"/>
            </w:rPr>
            <w:fldChar w:fldCharType="separate"/>
          </w:r>
          <w:r>
            <w:rPr>
              <w:sz w:val="24"/>
            </w:rPr>
            <w:t>28</w:t>
          </w:r>
          <w:r>
            <w:rPr>
              <w:sz w:val="24"/>
            </w:rPr>
            <w:fldChar w:fldCharType="end"/>
          </w:r>
          <w:r>
            <w:rPr>
              <w:rFonts w:hint="eastAsia" w:ascii="Times New Roman" w:hAnsi="Times New Roman" w:cs="Times New Roman"/>
              <w:color w:val="auto"/>
              <w:sz w:val="24"/>
              <w:szCs w:val="28"/>
              <w:lang w:eastAsia="zh-CN"/>
            </w:rPr>
            <w:fldChar w:fldCharType="end"/>
          </w:r>
        </w:p>
        <w:p w14:paraId="7FBEAAC0">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_Toc19220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第一节 大力推进全民参保计划</w:t>
          </w:r>
          <w:r>
            <w:rPr>
              <w:sz w:val="24"/>
            </w:rPr>
            <w:tab/>
          </w:r>
          <w:r>
            <w:rPr>
              <w:sz w:val="24"/>
            </w:rPr>
            <w:fldChar w:fldCharType="begin"/>
          </w:r>
          <w:r>
            <w:rPr>
              <w:sz w:val="24"/>
            </w:rPr>
            <w:instrText xml:space="preserve"> PAGEREF _Toc19220 \h </w:instrText>
          </w:r>
          <w:r>
            <w:rPr>
              <w:sz w:val="24"/>
            </w:rPr>
            <w:fldChar w:fldCharType="separate"/>
          </w:r>
          <w:r>
            <w:rPr>
              <w:sz w:val="24"/>
            </w:rPr>
            <w:t>28</w:t>
          </w:r>
          <w:r>
            <w:rPr>
              <w:sz w:val="24"/>
            </w:rPr>
            <w:fldChar w:fldCharType="end"/>
          </w:r>
          <w:r>
            <w:rPr>
              <w:rFonts w:hint="eastAsia" w:ascii="Times New Roman" w:hAnsi="Times New Roman" w:cs="Times New Roman"/>
              <w:color w:val="auto"/>
              <w:sz w:val="24"/>
              <w:szCs w:val="28"/>
              <w:lang w:eastAsia="zh-CN"/>
            </w:rPr>
            <w:fldChar w:fldCharType="end"/>
          </w:r>
        </w:p>
        <w:p w14:paraId="24D2C3FA">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_Toc28170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第二节 完善社会保障制度体系</w:t>
          </w:r>
          <w:r>
            <w:rPr>
              <w:sz w:val="24"/>
            </w:rPr>
            <w:tab/>
          </w:r>
          <w:r>
            <w:rPr>
              <w:sz w:val="24"/>
            </w:rPr>
            <w:fldChar w:fldCharType="begin"/>
          </w:r>
          <w:r>
            <w:rPr>
              <w:sz w:val="24"/>
            </w:rPr>
            <w:instrText xml:space="preserve"> PAGEREF _Toc28170 \h </w:instrText>
          </w:r>
          <w:r>
            <w:rPr>
              <w:sz w:val="24"/>
            </w:rPr>
            <w:fldChar w:fldCharType="separate"/>
          </w:r>
          <w:r>
            <w:rPr>
              <w:sz w:val="24"/>
            </w:rPr>
            <w:t>29</w:t>
          </w:r>
          <w:r>
            <w:rPr>
              <w:sz w:val="24"/>
            </w:rPr>
            <w:fldChar w:fldCharType="end"/>
          </w:r>
          <w:r>
            <w:rPr>
              <w:rFonts w:hint="eastAsia" w:ascii="Times New Roman" w:hAnsi="Times New Roman" w:cs="Times New Roman"/>
              <w:color w:val="auto"/>
              <w:sz w:val="24"/>
              <w:szCs w:val="28"/>
              <w:lang w:eastAsia="zh-CN"/>
            </w:rPr>
            <w:fldChar w:fldCharType="end"/>
          </w:r>
        </w:p>
        <w:p w14:paraId="044B2283">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_Toc23063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 xml:space="preserve">节 </w:t>
          </w:r>
          <w:r>
            <w:rPr>
              <w:rFonts w:hint="eastAsia" w:ascii="宋体" w:hAnsi="宋体" w:eastAsia="宋体" w:cs="宋体"/>
              <w:sz w:val="24"/>
              <w:lang w:val="en-US" w:eastAsia="zh-CN"/>
            </w:rPr>
            <w:t>加强社会保险基金风险防控</w:t>
          </w:r>
          <w:r>
            <w:rPr>
              <w:sz w:val="24"/>
            </w:rPr>
            <w:tab/>
          </w:r>
          <w:r>
            <w:rPr>
              <w:sz w:val="24"/>
            </w:rPr>
            <w:fldChar w:fldCharType="begin"/>
          </w:r>
          <w:r>
            <w:rPr>
              <w:sz w:val="24"/>
            </w:rPr>
            <w:instrText xml:space="preserve"> PAGEREF _Toc23063 \h </w:instrText>
          </w:r>
          <w:r>
            <w:rPr>
              <w:sz w:val="24"/>
            </w:rPr>
            <w:fldChar w:fldCharType="separate"/>
          </w:r>
          <w:r>
            <w:rPr>
              <w:sz w:val="24"/>
            </w:rPr>
            <w:t>31</w:t>
          </w:r>
          <w:r>
            <w:rPr>
              <w:sz w:val="24"/>
            </w:rPr>
            <w:fldChar w:fldCharType="end"/>
          </w:r>
          <w:r>
            <w:rPr>
              <w:rFonts w:hint="eastAsia" w:ascii="Times New Roman" w:hAnsi="Times New Roman" w:cs="Times New Roman"/>
              <w:color w:val="auto"/>
              <w:sz w:val="24"/>
              <w:szCs w:val="28"/>
              <w:lang w:eastAsia="zh-CN"/>
            </w:rPr>
            <w:fldChar w:fldCharType="end"/>
          </w:r>
        </w:p>
        <w:p w14:paraId="68814F43">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_Toc7602 </w:instrText>
          </w:r>
          <w:r>
            <w:rPr>
              <w:rFonts w:hint="eastAsia" w:ascii="Times New Roman" w:hAnsi="Times New Roman" w:cs="Times New Roman"/>
              <w:sz w:val="24"/>
              <w:szCs w:val="28"/>
              <w:lang w:eastAsia="zh-CN"/>
            </w:rPr>
            <w:fldChar w:fldCharType="separate"/>
          </w:r>
          <w:r>
            <w:rPr>
              <w:rFonts w:hint="eastAsia" w:ascii="黑体" w:hAnsi="黑体" w:eastAsia="黑体" w:cs="黑体"/>
              <w:bCs/>
              <w:sz w:val="24"/>
              <w:szCs w:val="32"/>
              <w:lang w:val="en-US" w:eastAsia="zh-CN"/>
            </w:rPr>
            <w:t>第五章 着力完善规则支持体系，构建和谐劳动关系</w:t>
          </w:r>
          <w:r>
            <w:rPr>
              <w:sz w:val="24"/>
            </w:rPr>
            <w:tab/>
          </w:r>
          <w:r>
            <w:rPr>
              <w:sz w:val="24"/>
            </w:rPr>
            <w:fldChar w:fldCharType="begin"/>
          </w:r>
          <w:r>
            <w:rPr>
              <w:sz w:val="24"/>
            </w:rPr>
            <w:instrText xml:space="preserve"> PAGEREF _Toc7602 \h </w:instrText>
          </w:r>
          <w:r>
            <w:rPr>
              <w:sz w:val="24"/>
            </w:rPr>
            <w:fldChar w:fldCharType="separate"/>
          </w:r>
          <w:r>
            <w:rPr>
              <w:sz w:val="24"/>
            </w:rPr>
            <w:t>32</w:t>
          </w:r>
          <w:r>
            <w:rPr>
              <w:sz w:val="24"/>
            </w:rPr>
            <w:fldChar w:fldCharType="end"/>
          </w:r>
          <w:r>
            <w:rPr>
              <w:rFonts w:hint="eastAsia" w:ascii="Times New Roman" w:hAnsi="Times New Roman" w:cs="Times New Roman"/>
              <w:color w:val="auto"/>
              <w:sz w:val="24"/>
              <w:szCs w:val="28"/>
              <w:lang w:eastAsia="zh-CN"/>
            </w:rPr>
            <w:fldChar w:fldCharType="end"/>
          </w:r>
        </w:p>
        <w:p w14:paraId="69C2956A">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_Toc32654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第一节 健全劳动关系协调体制</w:t>
          </w:r>
          <w:r>
            <w:rPr>
              <w:sz w:val="24"/>
            </w:rPr>
            <w:tab/>
          </w:r>
          <w:r>
            <w:rPr>
              <w:sz w:val="24"/>
            </w:rPr>
            <w:fldChar w:fldCharType="begin"/>
          </w:r>
          <w:r>
            <w:rPr>
              <w:sz w:val="24"/>
            </w:rPr>
            <w:instrText xml:space="preserve"> PAGEREF _Toc32654 \h </w:instrText>
          </w:r>
          <w:r>
            <w:rPr>
              <w:sz w:val="24"/>
            </w:rPr>
            <w:fldChar w:fldCharType="separate"/>
          </w:r>
          <w:r>
            <w:rPr>
              <w:sz w:val="24"/>
            </w:rPr>
            <w:t>32</w:t>
          </w:r>
          <w:r>
            <w:rPr>
              <w:sz w:val="24"/>
            </w:rPr>
            <w:fldChar w:fldCharType="end"/>
          </w:r>
          <w:r>
            <w:rPr>
              <w:rFonts w:hint="eastAsia" w:ascii="Times New Roman" w:hAnsi="Times New Roman" w:cs="Times New Roman"/>
              <w:color w:val="auto"/>
              <w:sz w:val="24"/>
              <w:szCs w:val="28"/>
              <w:lang w:eastAsia="zh-CN"/>
            </w:rPr>
            <w:fldChar w:fldCharType="end"/>
          </w:r>
        </w:p>
        <w:p w14:paraId="2985AEEC">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_Toc18461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第二节 加强调解仲裁效能建设</w:t>
          </w:r>
          <w:r>
            <w:rPr>
              <w:sz w:val="24"/>
            </w:rPr>
            <w:tab/>
          </w:r>
          <w:r>
            <w:rPr>
              <w:sz w:val="24"/>
            </w:rPr>
            <w:fldChar w:fldCharType="begin"/>
          </w:r>
          <w:r>
            <w:rPr>
              <w:sz w:val="24"/>
            </w:rPr>
            <w:instrText xml:space="preserve"> PAGEREF _Toc18461 \h </w:instrText>
          </w:r>
          <w:r>
            <w:rPr>
              <w:sz w:val="24"/>
            </w:rPr>
            <w:fldChar w:fldCharType="separate"/>
          </w:r>
          <w:r>
            <w:rPr>
              <w:sz w:val="24"/>
            </w:rPr>
            <w:t>34</w:t>
          </w:r>
          <w:r>
            <w:rPr>
              <w:sz w:val="24"/>
            </w:rPr>
            <w:fldChar w:fldCharType="end"/>
          </w:r>
          <w:r>
            <w:rPr>
              <w:rFonts w:hint="eastAsia" w:ascii="Times New Roman" w:hAnsi="Times New Roman" w:cs="Times New Roman"/>
              <w:color w:val="auto"/>
              <w:sz w:val="24"/>
              <w:szCs w:val="28"/>
              <w:lang w:eastAsia="zh-CN"/>
            </w:rPr>
            <w:fldChar w:fldCharType="end"/>
          </w:r>
        </w:p>
        <w:p w14:paraId="217B2DDF">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_Toc1913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节 完善劳动保障监察体系</w:t>
          </w:r>
          <w:r>
            <w:rPr>
              <w:sz w:val="24"/>
            </w:rPr>
            <w:tab/>
          </w:r>
          <w:r>
            <w:rPr>
              <w:sz w:val="24"/>
            </w:rPr>
            <w:fldChar w:fldCharType="begin"/>
          </w:r>
          <w:r>
            <w:rPr>
              <w:sz w:val="24"/>
            </w:rPr>
            <w:instrText xml:space="preserve"> PAGEREF _Toc1913 \h </w:instrText>
          </w:r>
          <w:r>
            <w:rPr>
              <w:sz w:val="24"/>
            </w:rPr>
            <w:fldChar w:fldCharType="separate"/>
          </w:r>
          <w:r>
            <w:rPr>
              <w:sz w:val="24"/>
            </w:rPr>
            <w:t>35</w:t>
          </w:r>
          <w:r>
            <w:rPr>
              <w:sz w:val="24"/>
            </w:rPr>
            <w:fldChar w:fldCharType="end"/>
          </w:r>
          <w:r>
            <w:rPr>
              <w:rFonts w:hint="eastAsia" w:ascii="Times New Roman" w:hAnsi="Times New Roman" w:cs="Times New Roman"/>
              <w:color w:val="auto"/>
              <w:sz w:val="24"/>
              <w:szCs w:val="28"/>
              <w:lang w:eastAsia="zh-CN"/>
            </w:rPr>
            <w:fldChar w:fldCharType="end"/>
          </w:r>
        </w:p>
        <w:p w14:paraId="0842CC5C">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_Toc5114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 xml:space="preserve">第四节 </w:t>
          </w:r>
          <w:r>
            <w:rPr>
              <w:rFonts w:hint="eastAsia" w:ascii="宋体" w:hAnsi="宋体" w:eastAsia="宋体" w:cs="宋体"/>
              <w:sz w:val="24"/>
            </w:rPr>
            <w:t>有效化解劳动关系领域重大风险</w:t>
          </w:r>
          <w:r>
            <w:rPr>
              <w:sz w:val="24"/>
            </w:rPr>
            <w:tab/>
          </w:r>
          <w:r>
            <w:rPr>
              <w:sz w:val="24"/>
            </w:rPr>
            <w:fldChar w:fldCharType="begin"/>
          </w:r>
          <w:r>
            <w:rPr>
              <w:sz w:val="24"/>
            </w:rPr>
            <w:instrText xml:space="preserve"> PAGEREF _Toc5114 \h </w:instrText>
          </w:r>
          <w:r>
            <w:rPr>
              <w:sz w:val="24"/>
            </w:rPr>
            <w:fldChar w:fldCharType="separate"/>
          </w:r>
          <w:r>
            <w:rPr>
              <w:sz w:val="24"/>
            </w:rPr>
            <w:t>36</w:t>
          </w:r>
          <w:r>
            <w:rPr>
              <w:sz w:val="24"/>
            </w:rPr>
            <w:fldChar w:fldCharType="end"/>
          </w:r>
          <w:r>
            <w:rPr>
              <w:rFonts w:hint="eastAsia" w:ascii="Times New Roman" w:hAnsi="Times New Roman" w:cs="Times New Roman"/>
              <w:color w:val="auto"/>
              <w:sz w:val="24"/>
              <w:szCs w:val="28"/>
              <w:lang w:eastAsia="zh-CN"/>
            </w:rPr>
            <w:fldChar w:fldCharType="end"/>
          </w:r>
        </w:p>
        <w:p w14:paraId="07268A90">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sz w:val="24"/>
              <w:szCs w:val="28"/>
              <w:lang w:eastAsia="zh-CN"/>
            </w:rPr>
          </w:pPr>
        </w:p>
        <w:p w14:paraId="298865A2">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_Toc3501 </w:instrText>
          </w:r>
          <w:r>
            <w:rPr>
              <w:rFonts w:hint="eastAsia" w:ascii="Times New Roman" w:hAnsi="Times New Roman" w:cs="Times New Roman"/>
              <w:sz w:val="24"/>
              <w:szCs w:val="28"/>
              <w:lang w:eastAsia="zh-CN"/>
            </w:rPr>
            <w:fldChar w:fldCharType="separate"/>
          </w:r>
          <w:r>
            <w:rPr>
              <w:rFonts w:hint="eastAsia" w:ascii="黑体" w:hAnsi="黑体" w:eastAsia="黑体" w:cs="黑体"/>
              <w:bCs/>
              <w:sz w:val="24"/>
              <w:szCs w:val="32"/>
              <w:lang w:val="en-US" w:eastAsia="zh-CN"/>
            </w:rPr>
            <w:t>第六章 打造公共服务建设“升级版”，提高服务能力和质量</w:t>
          </w:r>
          <w:r>
            <w:rPr>
              <w:sz w:val="24"/>
            </w:rPr>
            <w:tab/>
          </w:r>
          <w:r>
            <w:rPr>
              <w:sz w:val="24"/>
            </w:rPr>
            <w:fldChar w:fldCharType="begin"/>
          </w:r>
          <w:r>
            <w:rPr>
              <w:sz w:val="24"/>
            </w:rPr>
            <w:instrText xml:space="preserve"> PAGEREF _Toc3501 \h </w:instrText>
          </w:r>
          <w:r>
            <w:rPr>
              <w:sz w:val="24"/>
            </w:rPr>
            <w:fldChar w:fldCharType="separate"/>
          </w:r>
          <w:r>
            <w:rPr>
              <w:sz w:val="24"/>
            </w:rPr>
            <w:t>38</w:t>
          </w:r>
          <w:r>
            <w:rPr>
              <w:sz w:val="24"/>
            </w:rPr>
            <w:fldChar w:fldCharType="end"/>
          </w:r>
          <w:r>
            <w:rPr>
              <w:rFonts w:hint="eastAsia" w:ascii="Times New Roman" w:hAnsi="Times New Roman" w:cs="Times New Roman"/>
              <w:color w:val="auto"/>
              <w:sz w:val="24"/>
              <w:szCs w:val="28"/>
              <w:lang w:eastAsia="zh-CN"/>
            </w:rPr>
            <w:fldChar w:fldCharType="end"/>
          </w:r>
        </w:p>
        <w:p w14:paraId="12F78D04">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_Toc1567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lang w:val="en-US" w:eastAsia="zh-CN"/>
            </w:rPr>
            <w:t>第一节 全力推进公共服务均等化</w:t>
          </w:r>
          <w:r>
            <w:rPr>
              <w:sz w:val="24"/>
            </w:rPr>
            <w:tab/>
          </w:r>
          <w:r>
            <w:rPr>
              <w:sz w:val="24"/>
            </w:rPr>
            <w:fldChar w:fldCharType="begin"/>
          </w:r>
          <w:r>
            <w:rPr>
              <w:sz w:val="24"/>
            </w:rPr>
            <w:instrText xml:space="preserve"> PAGEREF _Toc1567 \h </w:instrText>
          </w:r>
          <w:r>
            <w:rPr>
              <w:sz w:val="24"/>
            </w:rPr>
            <w:fldChar w:fldCharType="separate"/>
          </w:r>
          <w:r>
            <w:rPr>
              <w:sz w:val="24"/>
            </w:rPr>
            <w:t>38</w:t>
          </w:r>
          <w:r>
            <w:rPr>
              <w:sz w:val="24"/>
            </w:rPr>
            <w:fldChar w:fldCharType="end"/>
          </w:r>
          <w:r>
            <w:rPr>
              <w:rFonts w:hint="eastAsia" w:ascii="Times New Roman" w:hAnsi="Times New Roman" w:cs="Times New Roman"/>
              <w:color w:val="auto"/>
              <w:sz w:val="24"/>
              <w:szCs w:val="28"/>
              <w:lang w:eastAsia="zh-CN"/>
            </w:rPr>
            <w:fldChar w:fldCharType="end"/>
          </w:r>
        </w:p>
        <w:p w14:paraId="78DD57E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_Toc25239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第二节 加快推进公共服务信息化</w:t>
          </w:r>
          <w:r>
            <w:rPr>
              <w:sz w:val="24"/>
            </w:rPr>
            <w:tab/>
          </w:r>
          <w:r>
            <w:rPr>
              <w:sz w:val="24"/>
            </w:rPr>
            <w:fldChar w:fldCharType="begin"/>
          </w:r>
          <w:r>
            <w:rPr>
              <w:sz w:val="24"/>
            </w:rPr>
            <w:instrText xml:space="preserve"> PAGEREF _Toc25239 \h </w:instrText>
          </w:r>
          <w:r>
            <w:rPr>
              <w:sz w:val="24"/>
            </w:rPr>
            <w:fldChar w:fldCharType="separate"/>
          </w:r>
          <w:r>
            <w:rPr>
              <w:sz w:val="24"/>
            </w:rPr>
            <w:t>39</w:t>
          </w:r>
          <w:r>
            <w:rPr>
              <w:sz w:val="24"/>
            </w:rPr>
            <w:fldChar w:fldCharType="end"/>
          </w:r>
          <w:r>
            <w:rPr>
              <w:rFonts w:hint="eastAsia" w:ascii="Times New Roman" w:hAnsi="Times New Roman" w:cs="Times New Roman"/>
              <w:color w:val="auto"/>
              <w:sz w:val="24"/>
              <w:szCs w:val="28"/>
              <w:lang w:eastAsia="zh-CN"/>
            </w:rPr>
            <w:fldChar w:fldCharType="end"/>
          </w:r>
        </w:p>
        <w:p w14:paraId="5A819131">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_Toc22641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第三节</w:t>
          </w:r>
          <w:r>
            <w:rPr>
              <w:rFonts w:hint="eastAsia" w:ascii="宋体" w:hAnsi="宋体" w:eastAsia="宋体" w:cs="宋体"/>
              <w:sz w:val="24"/>
              <w:lang w:val="en-US" w:eastAsia="zh-CN"/>
            </w:rPr>
            <w:t xml:space="preserve"> </w:t>
          </w:r>
          <w:r>
            <w:rPr>
              <w:rFonts w:hint="eastAsia" w:ascii="宋体" w:hAnsi="宋体" w:eastAsia="宋体" w:cs="宋体"/>
              <w:sz w:val="24"/>
            </w:rPr>
            <w:t>持续推动公共服务标准化</w:t>
          </w:r>
          <w:r>
            <w:rPr>
              <w:sz w:val="24"/>
            </w:rPr>
            <w:tab/>
          </w:r>
          <w:r>
            <w:rPr>
              <w:sz w:val="24"/>
            </w:rPr>
            <w:fldChar w:fldCharType="begin"/>
          </w:r>
          <w:r>
            <w:rPr>
              <w:sz w:val="24"/>
            </w:rPr>
            <w:instrText xml:space="preserve"> PAGEREF _Toc22641 \h </w:instrText>
          </w:r>
          <w:r>
            <w:rPr>
              <w:sz w:val="24"/>
            </w:rPr>
            <w:fldChar w:fldCharType="separate"/>
          </w:r>
          <w:r>
            <w:rPr>
              <w:sz w:val="24"/>
            </w:rPr>
            <w:t>42</w:t>
          </w:r>
          <w:r>
            <w:rPr>
              <w:sz w:val="24"/>
            </w:rPr>
            <w:fldChar w:fldCharType="end"/>
          </w:r>
          <w:r>
            <w:rPr>
              <w:rFonts w:hint="eastAsia" w:ascii="Times New Roman" w:hAnsi="Times New Roman" w:cs="Times New Roman"/>
              <w:color w:val="auto"/>
              <w:sz w:val="24"/>
              <w:szCs w:val="28"/>
              <w:lang w:eastAsia="zh-CN"/>
            </w:rPr>
            <w:fldChar w:fldCharType="end"/>
          </w:r>
        </w:p>
        <w:p w14:paraId="5A03F7FD">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_Toc32527 </w:instrText>
          </w:r>
          <w:r>
            <w:rPr>
              <w:rFonts w:hint="eastAsia" w:ascii="Times New Roman" w:hAnsi="Times New Roman" w:cs="Times New Roman"/>
              <w:sz w:val="24"/>
              <w:szCs w:val="28"/>
              <w:lang w:eastAsia="zh-CN"/>
            </w:rPr>
            <w:fldChar w:fldCharType="separate"/>
          </w:r>
          <w:r>
            <w:rPr>
              <w:rFonts w:hint="eastAsia" w:ascii="黑体" w:hAnsi="黑体" w:eastAsia="黑体" w:cs="黑体"/>
              <w:sz w:val="24"/>
              <w:szCs w:val="32"/>
              <w:lang w:val="en-US" w:eastAsia="zh-CN"/>
            </w:rPr>
            <w:t>第七章 强化规划实施保障</w:t>
          </w:r>
          <w:r>
            <w:rPr>
              <w:sz w:val="24"/>
            </w:rPr>
            <w:tab/>
          </w:r>
          <w:r>
            <w:rPr>
              <w:sz w:val="24"/>
            </w:rPr>
            <w:fldChar w:fldCharType="begin"/>
          </w:r>
          <w:r>
            <w:rPr>
              <w:sz w:val="24"/>
            </w:rPr>
            <w:instrText xml:space="preserve"> PAGEREF _Toc32527 \h </w:instrText>
          </w:r>
          <w:r>
            <w:rPr>
              <w:sz w:val="24"/>
            </w:rPr>
            <w:fldChar w:fldCharType="separate"/>
          </w:r>
          <w:r>
            <w:rPr>
              <w:sz w:val="24"/>
            </w:rPr>
            <w:t>44</w:t>
          </w:r>
          <w:r>
            <w:rPr>
              <w:sz w:val="24"/>
            </w:rPr>
            <w:fldChar w:fldCharType="end"/>
          </w:r>
          <w:r>
            <w:rPr>
              <w:rFonts w:hint="eastAsia" w:ascii="Times New Roman" w:hAnsi="Times New Roman" w:cs="Times New Roman"/>
              <w:color w:val="auto"/>
              <w:sz w:val="24"/>
              <w:szCs w:val="28"/>
              <w:lang w:eastAsia="zh-CN"/>
            </w:rPr>
            <w:fldChar w:fldCharType="end"/>
          </w:r>
        </w:p>
        <w:p w14:paraId="1517021C">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sz w:val="24"/>
            </w:rPr>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_Toc13540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第一节</w:t>
          </w:r>
          <w:r>
            <w:rPr>
              <w:rFonts w:hint="eastAsia" w:ascii="宋体" w:hAnsi="宋体" w:eastAsia="宋体" w:cs="宋体"/>
              <w:sz w:val="24"/>
              <w:lang w:val="en-US" w:eastAsia="zh-CN"/>
            </w:rPr>
            <w:t xml:space="preserve"> 坚持依法行政</w:t>
          </w:r>
          <w:r>
            <w:rPr>
              <w:sz w:val="24"/>
            </w:rPr>
            <w:tab/>
          </w:r>
          <w:r>
            <w:rPr>
              <w:sz w:val="24"/>
            </w:rPr>
            <w:fldChar w:fldCharType="begin"/>
          </w:r>
          <w:r>
            <w:rPr>
              <w:sz w:val="24"/>
            </w:rPr>
            <w:instrText xml:space="preserve"> PAGEREF _Toc13540 \h </w:instrText>
          </w:r>
          <w:r>
            <w:rPr>
              <w:sz w:val="24"/>
            </w:rPr>
            <w:fldChar w:fldCharType="separate"/>
          </w:r>
          <w:r>
            <w:rPr>
              <w:sz w:val="24"/>
            </w:rPr>
            <w:t>44</w:t>
          </w:r>
          <w:r>
            <w:rPr>
              <w:sz w:val="24"/>
            </w:rPr>
            <w:fldChar w:fldCharType="end"/>
          </w:r>
          <w:r>
            <w:rPr>
              <w:rFonts w:hint="eastAsia" w:ascii="Times New Roman" w:hAnsi="Times New Roman" w:cs="Times New Roman"/>
              <w:color w:val="auto"/>
              <w:sz w:val="24"/>
              <w:szCs w:val="28"/>
              <w:lang w:eastAsia="zh-CN"/>
            </w:rPr>
            <w:fldChar w:fldCharType="end"/>
          </w:r>
        </w:p>
        <w:p w14:paraId="3659A460">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pPr>
          <w:r>
            <w:rPr>
              <w:rFonts w:hint="eastAsia" w:ascii="Times New Roman" w:hAnsi="Times New Roman" w:cs="Times New Roman"/>
              <w:color w:val="auto"/>
              <w:sz w:val="24"/>
              <w:szCs w:val="28"/>
              <w:lang w:eastAsia="zh-CN"/>
            </w:rPr>
            <w:fldChar w:fldCharType="begin"/>
          </w:r>
          <w:r>
            <w:rPr>
              <w:rFonts w:hint="eastAsia" w:ascii="Times New Roman" w:hAnsi="Times New Roman" w:cs="Times New Roman"/>
              <w:sz w:val="24"/>
              <w:szCs w:val="28"/>
              <w:lang w:eastAsia="zh-CN"/>
            </w:rPr>
            <w:instrText xml:space="preserve"> HYPERLINK \l _Toc4037 </w:instrText>
          </w:r>
          <w:r>
            <w:rPr>
              <w:rFonts w:hint="eastAsia" w:ascii="Times New Roman" w:hAnsi="Times New Roman" w:cs="Times New Roman"/>
              <w:sz w:val="24"/>
              <w:szCs w:val="28"/>
              <w:lang w:eastAsia="zh-CN"/>
            </w:rPr>
            <w:fldChar w:fldCharType="separate"/>
          </w:r>
          <w:r>
            <w:rPr>
              <w:rFonts w:hint="eastAsia" w:ascii="宋体" w:hAnsi="宋体" w:eastAsia="宋体" w:cs="宋体"/>
              <w:sz w:val="24"/>
            </w:rPr>
            <w:t>第二节</w:t>
          </w:r>
          <w:r>
            <w:rPr>
              <w:rFonts w:hint="eastAsia" w:ascii="宋体" w:hAnsi="宋体" w:eastAsia="宋体" w:cs="宋体"/>
              <w:sz w:val="24"/>
              <w:lang w:val="en-US" w:eastAsia="zh-CN"/>
            </w:rPr>
            <w:t xml:space="preserve"> 加大</w:t>
          </w:r>
          <w:r>
            <w:rPr>
              <w:rFonts w:hint="eastAsia" w:ascii="宋体" w:hAnsi="宋体" w:eastAsia="宋体" w:cs="宋体"/>
              <w:sz w:val="24"/>
            </w:rPr>
            <w:t>科研支撑</w:t>
          </w:r>
          <w:r>
            <w:rPr>
              <w:sz w:val="24"/>
            </w:rPr>
            <w:tab/>
          </w:r>
          <w:r>
            <w:rPr>
              <w:sz w:val="24"/>
            </w:rPr>
            <w:fldChar w:fldCharType="begin"/>
          </w:r>
          <w:r>
            <w:rPr>
              <w:sz w:val="24"/>
            </w:rPr>
            <w:instrText xml:space="preserve"> PAGEREF _Toc4037 \h </w:instrText>
          </w:r>
          <w:r>
            <w:rPr>
              <w:sz w:val="24"/>
            </w:rPr>
            <w:fldChar w:fldCharType="separate"/>
          </w:r>
          <w:r>
            <w:rPr>
              <w:sz w:val="24"/>
            </w:rPr>
            <w:t>44</w:t>
          </w:r>
          <w:r>
            <w:rPr>
              <w:sz w:val="24"/>
            </w:rPr>
            <w:fldChar w:fldCharType="end"/>
          </w:r>
          <w:r>
            <w:rPr>
              <w:rFonts w:hint="eastAsia" w:ascii="Times New Roman" w:hAnsi="Times New Roman" w:cs="Times New Roman"/>
              <w:color w:val="auto"/>
              <w:sz w:val="24"/>
              <w:szCs w:val="28"/>
              <w:lang w:eastAsia="zh-CN"/>
            </w:rPr>
            <w:fldChar w:fldCharType="end"/>
          </w:r>
        </w:p>
        <w:p w14:paraId="59E5D876">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pP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HYPERLINK \l _Toc23983 </w:instrText>
          </w:r>
          <w:r>
            <w:rPr>
              <w:rFonts w:hint="eastAsia" w:ascii="宋体" w:hAnsi="宋体" w:eastAsia="宋体" w:cs="宋体"/>
              <w:sz w:val="24"/>
              <w:lang w:eastAsia="zh-CN"/>
            </w:rPr>
            <w:fldChar w:fldCharType="separate"/>
          </w: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 xml:space="preserve">节 </w:t>
          </w:r>
          <w:r>
            <w:rPr>
              <w:rFonts w:hint="eastAsia" w:ascii="宋体" w:hAnsi="宋体" w:eastAsia="宋体" w:cs="宋体"/>
              <w:sz w:val="24"/>
              <w:lang w:val="en-US" w:eastAsia="zh-CN"/>
            </w:rPr>
            <w:t>完善</w:t>
          </w:r>
          <w:r>
            <w:rPr>
              <w:rFonts w:hint="eastAsia" w:ascii="宋体" w:hAnsi="宋体" w:eastAsia="宋体" w:cs="宋体"/>
              <w:sz w:val="24"/>
            </w:rPr>
            <w:t>财</w:t>
          </w:r>
          <w:r>
            <w:rPr>
              <w:rFonts w:hint="eastAsia" w:ascii="宋体" w:hAnsi="宋体" w:eastAsia="宋体" w:cs="宋体"/>
              <w:sz w:val="24"/>
              <w:lang w:eastAsia="zh-CN"/>
            </w:rPr>
            <w:t>力保障</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_Toc23983 \h </w:instrText>
          </w:r>
          <w:r>
            <w:rPr>
              <w:rFonts w:hint="eastAsia" w:ascii="宋体" w:hAnsi="宋体" w:eastAsia="宋体" w:cs="宋体"/>
              <w:sz w:val="24"/>
            </w:rPr>
            <w:fldChar w:fldCharType="separate"/>
          </w:r>
          <w:r>
            <w:rPr>
              <w:rFonts w:hint="eastAsia" w:ascii="宋体" w:hAnsi="宋体" w:eastAsia="宋体" w:cs="宋体"/>
              <w:sz w:val="24"/>
            </w:rPr>
            <w:t>45</w:t>
          </w:r>
          <w:r>
            <w:rPr>
              <w:rFonts w:hint="eastAsia" w:ascii="宋体" w:hAnsi="宋体" w:eastAsia="宋体" w:cs="宋体"/>
              <w:sz w:val="24"/>
            </w:rPr>
            <w:fldChar w:fldCharType="end"/>
          </w:r>
          <w:r>
            <w:rPr>
              <w:rFonts w:hint="eastAsia" w:ascii="宋体" w:hAnsi="宋体" w:eastAsia="宋体" w:cs="宋体"/>
              <w:sz w:val="24"/>
              <w:lang w:eastAsia="zh-CN"/>
            </w:rPr>
            <w:fldChar w:fldCharType="end"/>
          </w:r>
        </w:p>
        <w:p w14:paraId="6649AC9E">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\l _Toc7484 </w:instrText>
          </w:r>
          <w:r>
            <w:rPr>
              <w:rFonts w:hint="eastAsia" w:ascii="宋体" w:hAnsi="宋体" w:eastAsia="宋体" w:cs="宋体"/>
              <w:sz w:val="24"/>
              <w:lang w:val="en-US" w:eastAsia="zh-CN"/>
            </w:rPr>
            <w:fldChar w:fldCharType="separate"/>
          </w:r>
          <w:r>
            <w:rPr>
              <w:rFonts w:hint="default" w:ascii="宋体" w:hAnsi="宋体" w:eastAsia="宋体" w:cs="宋体"/>
              <w:sz w:val="24"/>
              <w:lang w:val="en-US" w:eastAsia="zh-CN"/>
            </w:rPr>
            <w:t>第</w:t>
          </w:r>
          <w:r>
            <w:rPr>
              <w:rFonts w:hint="eastAsia" w:ascii="宋体" w:hAnsi="宋体" w:eastAsia="宋体" w:cs="宋体"/>
              <w:sz w:val="24"/>
              <w:lang w:val="en-US" w:eastAsia="zh-CN"/>
            </w:rPr>
            <w:t>四</w:t>
          </w:r>
          <w:r>
            <w:rPr>
              <w:rFonts w:hint="default" w:ascii="宋体" w:hAnsi="宋体" w:eastAsia="宋体" w:cs="宋体"/>
              <w:sz w:val="24"/>
              <w:lang w:val="en-US" w:eastAsia="zh-CN"/>
            </w:rPr>
            <w:t>节 加强</w:t>
          </w:r>
          <w:r>
            <w:rPr>
              <w:rFonts w:hint="eastAsia" w:ascii="宋体" w:hAnsi="宋体" w:eastAsia="宋体" w:cs="宋体"/>
              <w:sz w:val="24"/>
              <w:lang w:val="en-US" w:eastAsia="zh-CN"/>
            </w:rPr>
            <w:t>统计</w:t>
          </w:r>
          <w:r>
            <w:rPr>
              <w:rFonts w:hint="default" w:ascii="宋体" w:hAnsi="宋体" w:eastAsia="宋体" w:cs="宋体"/>
              <w:sz w:val="24"/>
              <w:lang w:val="en-US" w:eastAsia="zh-CN"/>
            </w:rPr>
            <w:t>监测</w:t>
          </w:r>
          <w:r>
            <w:rPr>
              <w:rFonts w:hint="eastAsia" w:ascii="宋体" w:hAnsi="宋体" w:eastAsia="宋体" w:cs="宋体"/>
              <w:sz w:val="24"/>
              <w:lang w:val="en-US" w:eastAsia="zh-CN"/>
            </w:rPr>
            <w:tab/>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PAGEREF _Toc7484 \h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45</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fldChar w:fldCharType="end"/>
          </w:r>
        </w:p>
        <w:p w14:paraId="37C98A4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\l _Toc21478 </w:instrText>
          </w:r>
          <w:r>
            <w:rPr>
              <w:rFonts w:hint="eastAsia" w:ascii="宋体" w:hAnsi="宋体" w:eastAsia="宋体" w:cs="宋体"/>
              <w:sz w:val="24"/>
              <w:lang w:val="en-US" w:eastAsia="zh-CN"/>
            </w:rPr>
            <w:fldChar w:fldCharType="separate"/>
          </w:r>
          <w:r>
            <w:rPr>
              <w:rFonts w:hint="default" w:ascii="宋体" w:hAnsi="宋体" w:eastAsia="宋体" w:cs="宋体"/>
              <w:sz w:val="24"/>
              <w:lang w:val="en-US" w:eastAsia="zh-CN"/>
            </w:rPr>
            <w:t>第</w:t>
          </w:r>
          <w:r>
            <w:rPr>
              <w:rFonts w:hint="eastAsia" w:ascii="宋体" w:hAnsi="宋体" w:eastAsia="宋体" w:cs="宋体"/>
              <w:sz w:val="24"/>
              <w:lang w:val="en-US" w:eastAsia="zh-CN"/>
            </w:rPr>
            <w:t>五</w:t>
          </w:r>
          <w:r>
            <w:rPr>
              <w:rFonts w:hint="default" w:ascii="宋体" w:hAnsi="宋体" w:eastAsia="宋体" w:cs="宋体"/>
              <w:sz w:val="24"/>
              <w:lang w:val="en-US" w:eastAsia="zh-CN"/>
            </w:rPr>
            <w:t>节 强化规划实施</w:t>
          </w:r>
          <w:r>
            <w:rPr>
              <w:rFonts w:hint="eastAsia" w:ascii="宋体" w:hAnsi="宋体" w:eastAsia="宋体" w:cs="宋体"/>
              <w:sz w:val="24"/>
              <w:lang w:val="en-US" w:eastAsia="zh-CN"/>
            </w:rPr>
            <w:tab/>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PAGEREF _Toc21478 \h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45</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fldChar w:fldCharType="end"/>
          </w:r>
        </w:p>
        <w:p w14:paraId="50949F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Cs w:val="28"/>
              <w:lang w:eastAsia="zh-CN"/>
            </w:rPr>
            <w:fldChar w:fldCharType="end"/>
          </w:r>
        </w:p>
      </w:sdtContent>
    </w:sdt>
    <w:p w14:paraId="1222CF7C">
      <w:pPr>
        <w:pStyle w:val="12"/>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7472ADA2">
      <w:pPr>
        <w:pStyle w:val="10"/>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0B5B0C1C">
      <w:pPr>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6F7F33BD">
      <w:pPr>
        <w:pStyle w:val="12"/>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1123A86F">
      <w:pPr>
        <w:pStyle w:val="10"/>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689EF1B4">
      <w:pPr>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45096364">
      <w:pPr>
        <w:pStyle w:val="12"/>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1D9FCEFB">
      <w:pPr>
        <w:pStyle w:val="10"/>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593C9467">
      <w:pPr>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color w:val="auto"/>
          <w:sz w:val="24"/>
          <w:szCs w:val="24"/>
          <w:lang w:eastAsia="zh-CN"/>
        </w:rPr>
      </w:pPr>
    </w:p>
    <w:p w14:paraId="42A7CCE5">
      <w:pPr>
        <w:pStyle w:val="1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eastAsia="zh-CN"/>
        </w:rPr>
      </w:pPr>
    </w:p>
    <w:p w14:paraId="4AA14D73">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641"/>
        <w:textAlignment w:val="auto"/>
        <w:outlineLvl w:val="9"/>
        <w:rPr>
          <w:rFonts w:hint="eastAsia" w:ascii="Times New Roman" w:hAnsi="Times New Roman" w:cs="Times New Roman"/>
          <w:color w:val="auto"/>
          <w:sz w:val="24"/>
          <w:szCs w:val="24"/>
          <w:lang w:eastAsia="zh-CN"/>
        </w:rPr>
      </w:pPr>
    </w:p>
    <w:p w14:paraId="282E715B">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480" w:firstLineChars="200"/>
        <w:textAlignment w:val="auto"/>
        <w:outlineLvl w:val="9"/>
        <w:rPr>
          <w:rFonts w:hint="eastAsia" w:ascii="Times New Roman" w:hAnsi="Times New Roman" w:cs="Times New Roman"/>
          <w:color w:val="auto"/>
          <w:sz w:val="24"/>
          <w:szCs w:val="24"/>
          <w:lang w:eastAsia="zh-CN"/>
        </w:rPr>
        <w:sectPr>
          <w:footerReference r:id="rId5" w:type="default"/>
          <w:pgSz w:w="11906" w:h="16838"/>
          <w:pgMar w:top="1440" w:right="1800" w:bottom="1440" w:left="1800" w:header="851" w:footer="992" w:gutter="0"/>
          <w:pgNumType w:start="1"/>
          <w:cols w:space="425" w:num="1"/>
          <w:docGrid w:type="lines" w:linePitch="312" w:charSpace="0"/>
        </w:sectPr>
      </w:pPr>
    </w:p>
    <w:p w14:paraId="1BEEB7E4">
      <w:pPr>
        <w:pStyle w:val="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640" w:firstLineChars="200"/>
        <w:textAlignment w:val="auto"/>
        <w:outlineLvl w:val="9"/>
        <w:rPr>
          <w:rFonts w:hint="eastAsia" w:ascii="黑体" w:hAnsi="黑体" w:eastAsia="黑体" w:cs="黑体"/>
        </w:rPr>
      </w:pP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时期是</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两个一百年”奋斗目标的历史交汇期</w:t>
      </w:r>
      <w:r>
        <w:rPr>
          <w:rFonts w:hint="eastAsia" w:ascii="Times New Roman" w:hAnsi="Times New Roman" w:cs="Times New Roman"/>
          <w:sz w:val="32"/>
          <w:szCs w:val="32"/>
          <w:lang w:val="en-US" w:eastAsia="zh-CN"/>
        </w:rPr>
        <w:t>，也是山西奋力实现转型出雏型的关键期，更是晋城开创新时代美丽晋城高质量转型发展新局面的重要期。这五年，</w:t>
      </w:r>
      <w:r>
        <w:rPr>
          <w:rFonts w:hint="default" w:ascii="Times New Roman" w:hAnsi="Times New Roman" w:eastAsia="仿宋_GB2312" w:cs="Times New Roman"/>
          <w:color w:val="auto"/>
          <w:sz w:val="32"/>
          <w:szCs w:val="32"/>
        </w:rPr>
        <w:t>人力资源</w:t>
      </w:r>
      <w:r>
        <w:rPr>
          <w:rFonts w:hint="eastAsia" w:ascii="Times New Roman" w:hAnsi="Times New Roman" w:cs="Times New Roman"/>
          <w:color w:val="auto"/>
          <w:sz w:val="32"/>
          <w:szCs w:val="32"/>
          <w:lang w:val="en-US" w:eastAsia="zh-CN"/>
        </w:rPr>
        <w:t>和</w:t>
      </w:r>
      <w:r>
        <w:rPr>
          <w:rFonts w:hint="default" w:ascii="Times New Roman" w:hAnsi="Times New Roman" w:eastAsia="仿宋_GB2312" w:cs="Times New Roman"/>
          <w:color w:val="auto"/>
          <w:sz w:val="32"/>
          <w:szCs w:val="32"/>
        </w:rPr>
        <w:t>社会保障</w:t>
      </w:r>
      <w:r>
        <w:rPr>
          <w:rFonts w:hint="eastAsia" w:ascii="Times New Roman" w:hAnsi="Times New Roman" w:cs="Times New Roman"/>
          <w:color w:val="auto"/>
          <w:sz w:val="32"/>
          <w:szCs w:val="32"/>
          <w:lang w:val="en-US" w:eastAsia="zh-CN"/>
        </w:rPr>
        <w:t>工作</w:t>
      </w:r>
      <w:r>
        <w:rPr>
          <w:rFonts w:hint="default"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以习近平新时代中国特色社会主义思想为指导，</w:t>
      </w:r>
      <w:r>
        <w:rPr>
          <w:rFonts w:hint="eastAsia" w:ascii="Times New Roman" w:hAnsi="Times New Roman" w:eastAsia="仿宋_GB2312" w:cs="Times New Roman"/>
          <w:color w:val="auto"/>
          <w:sz w:val="32"/>
          <w:szCs w:val="32"/>
          <w:lang w:eastAsia="zh-CN"/>
        </w:rPr>
        <w:t>立足新发展阶段，</w:t>
      </w:r>
      <w:r>
        <w:rPr>
          <w:rFonts w:hint="eastAsia" w:ascii="Times New Roman" w:hAnsi="Times New Roman" w:eastAsia="仿宋_GB2312" w:cs="Times New Roman"/>
          <w:color w:val="000000"/>
          <w:sz w:val="32"/>
          <w:szCs w:val="32"/>
          <w:u w:val="none"/>
          <w:lang w:eastAsia="zh-CN"/>
        </w:rPr>
        <w:t>贯彻新发展理念，构建</w:t>
      </w:r>
      <w:r>
        <w:rPr>
          <w:rFonts w:hint="eastAsia" w:ascii="Times New Roman" w:hAnsi="Times New Roman" w:eastAsia="仿宋_GB2312" w:cs="Times New Roman"/>
          <w:color w:val="000000"/>
          <w:sz w:val="32"/>
          <w:szCs w:val="32"/>
          <w:u w:val="none"/>
          <w:lang w:val="en-US" w:eastAsia="zh-CN"/>
        </w:rPr>
        <w:t>新发展格局</w:t>
      </w:r>
      <w:r>
        <w:rPr>
          <w:rFonts w:hint="default" w:ascii="Times New Roman" w:hAnsi="Times New Roman" w:eastAsia="仿宋_GB2312" w:cs="Times New Roman"/>
          <w:color w:val="000000"/>
          <w:sz w:val="32"/>
          <w:szCs w:val="32"/>
          <w:u w:val="none"/>
          <w:lang w:val="en-US" w:eastAsia="zh-CN"/>
        </w:rPr>
        <w:t>，</w:t>
      </w:r>
      <w:r>
        <w:rPr>
          <w:rFonts w:hint="eastAsia" w:ascii="Times New Roman" w:hAnsi="Times New Roman" w:cs="Times New Roman"/>
          <w:color w:val="000000"/>
          <w:sz w:val="32"/>
          <w:szCs w:val="32"/>
          <w:u w:val="none"/>
          <w:lang w:val="en-US" w:eastAsia="zh-CN"/>
        </w:rPr>
        <w:t>努力创造高品质生活，持续增强人民群众获得感、幸福感、安全感。</w:t>
      </w:r>
      <w:r>
        <w:rPr>
          <w:rFonts w:hint="eastAsia" w:ascii="Times New Roman" w:hAnsi="Times New Roman" w:cs="Times New Roman"/>
          <w:color w:val="auto"/>
          <w:sz w:val="32"/>
          <w:szCs w:val="32"/>
          <w:lang w:val="en-US" w:eastAsia="zh-CN"/>
        </w:rPr>
        <w:t>晋城市</w:t>
      </w:r>
      <w:r>
        <w:rPr>
          <w:rFonts w:hint="default" w:ascii="Times New Roman" w:hAnsi="Times New Roman" w:eastAsia="仿宋_GB2312" w:cs="Times New Roman"/>
          <w:color w:val="auto"/>
          <w:sz w:val="32"/>
          <w:szCs w:val="32"/>
        </w:rPr>
        <w:t>人力资源和社会保障事业发展</w:t>
      </w:r>
      <w:r>
        <w:rPr>
          <w:rFonts w:hint="eastAsia" w:ascii="Times New Roman" w:hAnsi="Times New Roman" w:cs="Times New Roman"/>
          <w:color w:val="auto"/>
          <w:sz w:val="32"/>
          <w:szCs w:val="32"/>
          <w:lang w:val="en-US" w:eastAsia="zh-CN"/>
        </w:rPr>
        <w:t>第十四个五年（2021-2025年）</w:t>
      </w:r>
      <w:r>
        <w:rPr>
          <w:rFonts w:hint="default" w:ascii="Times New Roman" w:hAnsi="Times New Roman" w:eastAsia="仿宋_GB2312" w:cs="Times New Roman"/>
          <w:color w:val="auto"/>
          <w:sz w:val="32"/>
          <w:szCs w:val="32"/>
        </w:rPr>
        <w:t>规划纲要，</w:t>
      </w:r>
      <w:r>
        <w:rPr>
          <w:rFonts w:hint="eastAsia" w:ascii="Times New Roman" w:hAnsi="Times New Roman" w:cs="Times New Roman"/>
          <w:color w:val="auto"/>
          <w:sz w:val="32"/>
          <w:szCs w:val="32"/>
          <w:lang w:val="en-US" w:eastAsia="zh-CN"/>
        </w:rPr>
        <w:t>根据《中共晋城市委关于制定国民经济和社会发展第十四个五年规划和二〇三五年远景目标的建议》编制，</w:t>
      </w:r>
      <w:r>
        <w:rPr>
          <w:rFonts w:hint="default" w:ascii="Times New Roman" w:hAnsi="Times New Roman" w:eastAsia="仿宋_GB2312" w:cs="Times New Roman"/>
          <w:color w:val="auto"/>
          <w:sz w:val="32"/>
          <w:szCs w:val="32"/>
        </w:rPr>
        <w:t>主要</w:t>
      </w:r>
      <w:r>
        <w:rPr>
          <w:rFonts w:hint="eastAsia" w:ascii="Times New Roman" w:hAnsi="Times New Roman" w:cs="Times New Roman"/>
          <w:color w:val="auto"/>
          <w:sz w:val="32"/>
          <w:szCs w:val="32"/>
          <w:lang w:val="en-US" w:eastAsia="zh-CN"/>
        </w:rPr>
        <w:t>明确</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时期</w:t>
      </w:r>
      <w:r>
        <w:rPr>
          <w:rFonts w:hint="eastAsia" w:ascii="Times New Roman" w:hAnsi="Times New Roman" w:cs="Times New Roman"/>
          <w:color w:val="auto"/>
          <w:sz w:val="32"/>
          <w:szCs w:val="32"/>
          <w:lang w:val="en-US" w:eastAsia="zh-CN"/>
        </w:rPr>
        <w:t>晋城市</w:t>
      </w:r>
      <w:r>
        <w:rPr>
          <w:rFonts w:hint="default" w:ascii="Times New Roman" w:hAnsi="Times New Roman" w:eastAsia="仿宋_GB2312" w:cs="Times New Roman"/>
          <w:color w:val="auto"/>
          <w:sz w:val="32"/>
          <w:szCs w:val="32"/>
        </w:rPr>
        <w:t>人力资源和社会保障事业发展的</w:t>
      </w:r>
      <w:r>
        <w:rPr>
          <w:rFonts w:hint="eastAsia" w:ascii="Times New Roman" w:hAnsi="Times New Roman" w:cs="Times New Roman"/>
          <w:color w:val="auto"/>
          <w:sz w:val="32"/>
          <w:szCs w:val="32"/>
          <w:lang w:val="en-US" w:eastAsia="zh-CN"/>
        </w:rPr>
        <w:t>宏伟</w:t>
      </w:r>
      <w:r>
        <w:rPr>
          <w:rFonts w:hint="default" w:ascii="Times New Roman" w:hAnsi="Times New Roman" w:eastAsia="仿宋_GB2312" w:cs="Times New Roman"/>
          <w:color w:val="auto"/>
          <w:sz w:val="32"/>
          <w:szCs w:val="32"/>
        </w:rPr>
        <w:t>目标、主要任务和重大</w:t>
      </w:r>
      <w:r>
        <w:rPr>
          <w:rFonts w:hint="eastAsia" w:ascii="Times New Roman" w:hAnsi="Times New Roman" w:cs="Times New Roman"/>
          <w:color w:val="auto"/>
          <w:sz w:val="32"/>
          <w:szCs w:val="32"/>
          <w:lang w:val="en-US" w:eastAsia="zh-CN"/>
        </w:rPr>
        <w:t>举措</w:t>
      </w:r>
      <w:r>
        <w:rPr>
          <w:rFonts w:hint="default" w:ascii="Times New Roman" w:hAnsi="Times New Roman" w:eastAsia="仿宋_GB2312" w:cs="Times New Roman"/>
          <w:color w:val="auto"/>
          <w:sz w:val="32"/>
          <w:szCs w:val="32"/>
        </w:rPr>
        <w:t>，是</w:t>
      </w:r>
      <w:r>
        <w:rPr>
          <w:rFonts w:hint="eastAsia" w:ascii="Times New Roman" w:hAnsi="Times New Roman" w:cs="Times New Roman"/>
          <w:color w:val="auto"/>
          <w:sz w:val="32"/>
          <w:szCs w:val="32"/>
          <w:lang w:val="en-US" w:eastAsia="zh-CN"/>
        </w:rPr>
        <w:t>全市人民的共同愿景、政府履行职责的重要依据和引导人社事业发展的重要参考。</w:t>
      </w:r>
    </w:p>
    <w:p w14:paraId="0F038F46">
      <w:pPr>
        <w:pStyle w:val="2"/>
        <w:ind w:left="0" w:leftChars="0" w:firstLine="0" w:firstLineChars="0"/>
        <w:rPr>
          <w:rFonts w:hint="eastAsia"/>
          <w:lang w:eastAsia="zh-CN"/>
        </w:rPr>
      </w:pPr>
    </w:p>
    <w:p w14:paraId="22D76140">
      <w:pPr>
        <w:pStyle w:val="6"/>
        <w:bidi w:val="0"/>
        <w:ind w:left="0" w:leftChars="0" w:firstLine="0" w:firstLineChars="0"/>
        <w:jc w:val="both"/>
        <w:rPr>
          <w:rFonts w:hint="eastAsia" w:ascii="黑体" w:hAnsi="黑体" w:eastAsia="黑体" w:cs="黑体"/>
          <w:sz w:val="32"/>
          <w:szCs w:val="32"/>
        </w:rPr>
      </w:pPr>
    </w:p>
    <w:p w14:paraId="232ACC2F">
      <w:pPr>
        <w:pStyle w:val="6"/>
        <w:bidi w:val="0"/>
        <w:ind w:left="0" w:leftChars="0" w:firstLine="0" w:firstLineChars="0"/>
        <w:jc w:val="both"/>
        <w:rPr>
          <w:rFonts w:hint="eastAsia" w:ascii="黑体" w:hAnsi="黑体" w:eastAsia="黑体" w:cs="黑体"/>
          <w:sz w:val="32"/>
          <w:szCs w:val="32"/>
        </w:rPr>
      </w:pPr>
    </w:p>
    <w:p w14:paraId="4A365561">
      <w:pPr>
        <w:rPr>
          <w:rFonts w:hint="eastAsia"/>
        </w:rPr>
      </w:pPr>
    </w:p>
    <w:p w14:paraId="0B5AF5AF">
      <w:pPr>
        <w:pStyle w:val="6"/>
        <w:bidi w:val="0"/>
        <w:ind w:left="0" w:leftChars="0" w:firstLine="0" w:firstLineChars="0"/>
        <w:jc w:val="center"/>
        <w:rPr>
          <w:rFonts w:hint="eastAsia" w:ascii="黑体" w:hAnsi="黑体" w:eastAsia="黑体" w:cs="黑体"/>
          <w:sz w:val="32"/>
          <w:szCs w:val="32"/>
        </w:rPr>
      </w:pPr>
      <w:bookmarkStart w:id="0" w:name="_Toc31160"/>
      <w:r>
        <w:rPr>
          <w:rFonts w:hint="eastAsia" w:ascii="黑体" w:hAnsi="黑体" w:eastAsia="黑体" w:cs="黑体"/>
          <w:sz w:val="32"/>
          <w:szCs w:val="32"/>
        </w:rPr>
        <w:t>第一章 指导思想和主要目标</w:t>
      </w:r>
      <w:bookmarkEnd w:id="0"/>
    </w:p>
    <w:p w14:paraId="3845A7B4">
      <w:pPr>
        <w:pStyle w:val="7"/>
        <w:bidi w:val="0"/>
        <w:ind w:left="0" w:leftChars="0" w:firstLine="0" w:firstLineChars="0"/>
        <w:jc w:val="center"/>
        <w:rPr>
          <w:rFonts w:hint="eastAsia" w:ascii="宋体" w:hAnsi="宋体" w:eastAsia="宋体" w:cs="宋体"/>
        </w:rPr>
      </w:pPr>
      <w:bookmarkStart w:id="1" w:name="_Toc25316"/>
      <w:r>
        <w:rPr>
          <w:rFonts w:hint="eastAsia" w:ascii="宋体" w:hAnsi="宋体" w:eastAsia="宋体" w:cs="宋体"/>
        </w:rPr>
        <w:t>第一节 发展基础</w:t>
      </w:r>
      <w:bookmarkEnd w:id="1"/>
    </w:p>
    <w:p w14:paraId="628D3C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b w:val="0"/>
          <w:bCs/>
          <w:lang w:val="en-US" w:eastAsia="zh-CN"/>
        </w:rPr>
      </w:pPr>
      <w:r>
        <w:rPr>
          <w:rFonts w:hint="eastAsia"/>
          <w:b w:val="0"/>
          <w:bCs/>
          <w:lang w:eastAsia="zh-CN"/>
        </w:rPr>
        <w:t>“</w:t>
      </w:r>
      <w:r>
        <w:rPr>
          <w:rFonts w:hint="eastAsia"/>
          <w:b w:val="0"/>
          <w:bCs/>
          <w:lang w:val="en-US" w:eastAsia="zh-CN"/>
        </w:rPr>
        <w:t>十三五”时期，</w:t>
      </w:r>
      <w:r>
        <w:rPr>
          <w:rFonts w:hint="eastAsia" w:ascii="仿宋_GB2312" w:hAnsi="宋体" w:cs="黑体"/>
          <w:color w:val="000000"/>
          <w:szCs w:val="32"/>
        </w:rPr>
        <w:t>在市委市政府的正确领导下，全市深入贯彻落实习近平总书记视察山西重要讲话重要指示，</w:t>
      </w:r>
      <w:r>
        <w:rPr>
          <w:rFonts w:hint="eastAsia" w:ascii="仿宋_GB2312" w:hAnsi="仿宋_GB2312" w:eastAsia="仿宋_GB2312" w:cs="仿宋_GB2312"/>
          <w:sz w:val="32"/>
          <w:szCs w:val="32"/>
        </w:rPr>
        <w:t>坚持“民生为本、就业优先”理念，全面聚焦全市重大战略部署，积极在优化就业环境、推进社保改革、构建人才培树体系、和谐劳动关系上下功夫，</w:t>
      </w:r>
      <w:r>
        <w:rPr>
          <w:rFonts w:hint="eastAsia" w:cs="仿宋_GB2312"/>
          <w:sz w:val="32"/>
          <w:szCs w:val="32"/>
          <w:lang w:val="en-US" w:eastAsia="zh-CN"/>
        </w:rPr>
        <w:t>人力资源和社会保障各项工作取得较好成绩。</w:t>
      </w:r>
    </w:p>
    <w:p w14:paraId="79276026">
      <w:pPr>
        <w:pStyle w:val="8"/>
        <w:numPr>
          <w:ilvl w:val="0"/>
          <w:numId w:val="1"/>
        </w:numPr>
        <w:bidi w:val="0"/>
        <w:rPr>
          <w:rFonts w:hint="eastAsia"/>
        </w:rPr>
      </w:pPr>
      <w:bookmarkStart w:id="2" w:name="_Toc6830"/>
      <w:r>
        <w:rPr>
          <w:rFonts w:hint="eastAsia"/>
        </w:rPr>
        <w:t>就业</w:t>
      </w:r>
      <w:r>
        <w:rPr>
          <w:rFonts w:hint="eastAsia"/>
          <w:lang w:val="en-US" w:eastAsia="zh-CN"/>
        </w:rPr>
        <w:t>形</w:t>
      </w:r>
      <w:r>
        <w:rPr>
          <w:rFonts w:hint="eastAsia"/>
        </w:rPr>
        <w:t>势</w:t>
      </w:r>
      <w:r>
        <w:rPr>
          <w:rFonts w:hint="eastAsia"/>
          <w:lang w:val="en-US" w:eastAsia="zh-CN"/>
        </w:rPr>
        <w:t>稳定向好</w:t>
      </w:r>
      <w:bookmarkEnd w:id="2"/>
    </w:p>
    <w:p w14:paraId="13390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s="仿宋_GB2312"/>
          <w:sz w:val="32"/>
          <w:szCs w:val="32"/>
          <w:lang w:val="en-US" w:eastAsia="zh-CN"/>
        </w:rPr>
      </w:pPr>
      <w:r>
        <w:rPr>
          <w:rFonts w:hint="eastAsia" w:cs="仿宋_GB2312"/>
          <w:sz w:val="32"/>
          <w:szCs w:val="32"/>
          <w:lang w:val="en-US" w:eastAsia="zh-CN"/>
        </w:rPr>
        <w:t>就业是最大的民生。“十三五”期间，我市实施就业优先战略和积极就业政策，以创业带动就业，完善就业服务体系，提升就业质量，城乡就业规模不断扩大，就业形势保持基本稳定。全市</w:t>
      </w:r>
      <w:r>
        <w:rPr>
          <w:rFonts w:hint="eastAsia" w:ascii="仿宋_GB2312" w:hAnsi="仿宋_GB2312" w:eastAsia="仿宋_GB2312" w:cs="仿宋_GB2312"/>
          <w:sz w:val="32"/>
          <w:szCs w:val="32"/>
        </w:rPr>
        <w:t>城镇累计新增就业岗位</w:t>
      </w:r>
      <w:r>
        <w:rPr>
          <w:rFonts w:hint="eastAsia" w:cs="仿宋_GB2312"/>
          <w:sz w:val="32"/>
          <w:szCs w:val="32"/>
          <w:lang w:val="en-US" w:eastAsia="zh-CN"/>
        </w:rPr>
        <w:t>22.64（3）万个,完成目标任务13万人的174.2%。失业人员再就业人数累计达到3.53（2）万人,完成目标任务3万人的117.7%。就业困难人员再就业人数累计达到1万人，完成目标任务0.75万人的133.3%。累计转移农村劳动力13.76万人,完成目标任务12万人的114.7%。城镇登记失业率控制在3.42%以内，低于省控目标1.08个百分点。先后出台《晋城市吸引大学生就业创业实施办法》、《关于进一步强化稳就业举措的实施意见》等针对性强、具备操作性的文件，构筑稳就业制度体系。发放小微企业吸纳就业补助，在全省范围内率先尝试“诚信承诺+督察惩戒“方式，激活小微企业吸纳就业动力。积极畅通创业担保贷款路径，不断加大小微企业</w:t>
      </w:r>
      <w:r>
        <w:rPr>
          <w:rFonts w:hint="eastAsia" w:ascii="仿宋_GB2312" w:hAnsi="仿宋_GB2312" w:eastAsia="仿宋_GB2312" w:cs="仿宋_GB2312"/>
          <w:sz w:val="32"/>
          <w:szCs w:val="32"/>
        </w:rPr>
        <w:t>创业孵化支持力度，</w:t>
      </w:r>
      <w:r>
        <w:rPr>
          <w:rFonts w:hint="eastAsia" w:cs="仿宋_GB2312"/>
          <w:sz w:val="32"/>
          <w:szCs w:val="32"/>
          <w:lang w:val="en-US" w:eastAsia="zh-CN"/>
        </w:rPr>
        <w:t>全市共发放创业担保贷款7044万元，扶持创业者311户，带动就业1564人，营造“大众创业、万众创新”的良好氛围。</w:t>
      </w:r>
      <w:r>
        <w:rPr>
          <w:rFonts w:hint="eastAsia" w:cs="仿宋_GB2312"/>
          <w:sz w:val="32"/>
          <w:szCs w:val="32"/>
          <w:highlight w:val="cyan"/>
          <w:lang w:val="en-US" w:eastAsia="zh-CN"/>
        </w:rPr>
        <w:t>（数据需更新）</w:t>
      </w:r>
    </w:p>
    <w:p w14:paraId="65E79018">
      <w:pPr>
        <w:pStyle w:val="8"/>
        <w:numPr>
          <w:ilvl w:val="0"/>
          <w:numId w:val="1"/>
        </w:numPr>
        <w:bidi w:val="0"/>
        <w:ind w:left="0" w:leftChars="0" w:firstLine="643" w:firstLineChars="200"/>
        <w:rPr>
          <w:rFonts w:hint="eastAsia"/>
        </w:rPr>
      </w:pPr>
      <w:bookmarkStart w:id="3" w:name="_Toc19444"/>
      <w:r>
        <w:rPr>
          <w:rFonts w:hint="eastAsia"/>
          <w:lang w:val="en-US" w:eastAsia="zh-CN"/>
        </w:rPr>
        <w:t>社会</w:t>
      </w:r>
      <w:r>
        <w:rPr>
          <w:rFonts w:hint="eastAsia"/>
        </w:rPr>
        <w:t>保障能力显著提升</w:t>
      </w:r>
      <w:bookmarkEnd w:id="3"/>
    </w:p>
    <w:p w14:paraId="00237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s="仿宋_GB2312"/>
          <w:sz w:val="32"/>
          <w:szCs w:val="32"/>
          <w:highlight w:val="cyan"/>
          <w:lang w:val="en-US" w:eastAsia="zh-CN"/>
        </w:rPr>
      </w:pPr>
      <w:r>
        <w:rPr>
          <w:rFonts w:hint="eastAsia" w:cs="仿宋_GB2312"/>
          <w:sz w:val="32"/>
          <w:szCs w:val="32"/>
          <w:lang w:val="en-US" w:eastAsia="zh-CN"/>
        </w:rPr>
        <w:t>社会保障是人民安居乐业的“稳定器”。</w:t>
      </w:r>
      <w:r>
        <w:rPr>
          <w:rFonts w:hint="eastAsia" w:cs="仿宋_GB2312"/>
          <w:sz w:val="32"/>
          <w:szCs w:val="32"/>
          <w:lang w:eastAsia="zh-CN"/>
        </w:rPr>
        <w:t>“</w:t>
      </w:r>
      <w:r>
        <w:rPr>
          <w:rFonts w:hint="eastAsia" w:ascii="仿宋_GB2312" w:hAnsi="仿宋_GB2312" w:eastAsia="仿宋_GB2312" w:cs="仿宋_GB2312"/>
          <w:sz w:val="32"/>
          <w:szCs w:val="32"/>
        </w:rPr>
        <w:t>十三五</w:t>
      </w:r>
      <w:r>
        <w:rPr>
          <w:rFonts w:hint="eastAsia" w:cs="仿宋_GB2312"/>
          <w:sz w:val="32"/>
          <w:szCs w:val="32"/>
          <w:lang w:eastAsia="zh-CN"/>
        </w:rPr>
        <w:t>”</w:t>
      </w:r>
      <w:r>
        <w:rPr>
          <w:rFonts w:hint="eastAsia" w:ascii="仿宋_GB2312" w:hAnsi="仿宋_GB2312" w:eastAsia="仿宋_GB2312" w:cs="仿宋_GB2312"/>
          <w:sz w:val="32"/>
          <w:szCs w:val="32"/>
        </w:rPr>
        <w:t>期间，</w:t>
      </w:r>
      <w:r>
        <w:rPr>
          <w:rFonts w:hint="eastAsia" w:cs="仿宋_GB2312"/>
          <w:sz w:val="32"/>
          <w:szCs w:val="32"/>
          <w:lang w:val="en-US" w:eastAsia="zh-CN"/>
        </w:rPr>
        <w:t>全市社会保险覆盖范围持续扩大。</w:t>
      </w:r>
      <w:r>
        <w:rPr>
          <w:rFonts w:hint="eastAsia" w:ascii="仿宋_GB2312" w:hAnsi="仿宋_GB2312" w:eastAsia="仿宋_GB2312" w:cs="仿宋_GB2312"/>
          <w:sz w:val="32"/>
          <w:szCs w:val="32"/>
        </w:rPr>
        <w:t>企业职工基本养老保险、机关事业单位养老保险</w:t>
      </w:r>
      <w:r>
        <w:rPr>
          <w:rFonts w:hint="eastAsia" w:cs="仿宋_GB2312"/>
          <w:sz w:val="32"/>
          <w:szCs w:val="32"/>
          <w:lang w:val="en-US" w:eastAsia="zh-CN"/>
        </w:rPr>
        <w:t>、城乡居民养老保险、失业保险、截止2020年，工伤保险参保人数分别达到42.45万人、9.48万人、111.9万人、33.59万人、49.38万人，分别完成目标任务的139.6%、135.4%、101.7%、115.8%、102.9%、127.2%。发放企业职工基本养老保险、机关事业单位养老保险、城乡居民养老保险、失业保险、工伤保险分别达到：118.7亿元、66.2亿元、24亿元、9.5亿元、8.7亿元。“十三五”时期，全市参加城乡居民基本养老保险111.90人，全市城乡居民养老保险基金累计结余25.98万元。全市工伤保险参保人数4.94万人，为2256名享受工伤保险待遇人员按时足额发放1.21万元。</w:t>
      </w:r>
      <w:r>
        <w:rPr>
          <w:rFonts w:hint="eastAsia" w:cs="仿宋_GB2312"/>
          <w:sz w:val="32"/>
          <w:szCs w:val="32"/>
          <w:highlight w:val="cyan"/>
          <w:lang w:val="en-US" w:eastAsia="zh-CN"/>
        </w:rPr>
        <w:t>（数据需更新）</w:t>
      </w:r>
    </w:p>
    <w:p w14:paraId="31E31D89">
      <w:pPr>
        <w:pStyle w:val="8"/>
        <w:numPr>
          <w:ilvl w:val="0"/>
          <w:numId w:val="1"/>
        </w:numPr>
        <w:bidi w:val="0"/>
        <w:ind w:left="0" w:leftChars="0" w:firstLine="643" w:firstLineChars="200"/>
        <w:rPr>
          <w:rFonts w:hint="eastAsia"/>
        </w:rPr>
      </w:pPr>
      <w:bookmarkStart w:id="4" w:name="_Toc1563"/>
      <w:r>
        <w:rPr>
          <w:rFonts w:hint="eastAsia"/>
        </w:rPr>
        <w:t>人才队伍</w:t>
      </w:r>
      <w:r>
        <w:rPr>
          <w:rFonts w:hint="eastAsia"/>
          <w:lang w:val="en-US" w:eastAsia="zh-CN"/>
        </w:rPr>
        <w:t>建设</w:t>
      </w:r>
      <w:bookmarkEnd w:id="4"/>
      <w:r>
        <w:rPr>
          <w:rFonts w:hint="eastAsia"/>
          <w:lang w:val="en-US" w:eastAsia="zh-CN"/>
        </w:rPr>
        <w:t>不断加强</w:t>
      </w:r>
    </w:p>
    <w:p w14:paraId="057F1E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cs="仿宋_GB2312"/>
          <w:sz w:val="32"/>
          <w:szCs w:val="32"/>
          <w:lang w:val="en-US" w:eastAsia="zh-CN"/>
        </w:rPr>
        <w:t>人才是推动创新发展的第一资源。“十三五”期间，我市实施人才强市战略，深化人才发展体制机制改革，努力建设一支数量充足、结构合理、素质优良的人才队伍。改革</w:t>
      </w:r>
      <w:r>
        <w:rPr>
          <w:rFonts w:hint="eastAsia" w:ascii="仿宋_GB2312" w:hAnsi="仿宋_GB2312" w:eastAsia="仿宋_GB2312" w:cs="仿宋_GB2312"/>
          <w:sz w:val="32"/>
          <w:szCs w:val="32"/>
        </w:rPr>
        <w:t>原有公开招聘模式，</w:t>
      </w:r>
      <w:r>
        <w:rPr>
          <w:rFonts w:hint="eastAsia" w:cs="仿宋_GB2312"/>
          <w:sz w:val="32"/>
          <w:szCs w:val="32"/>
          <w:lang w:val="en-US" w:eastAsia="zh-CN"/>
        </w:rPr>
        <w:t>加大</w:t>
      </w:r>
      <w:r>
        <w:rPr>
          <w:rFonts w:hint="eastAsia" w:ascii="仿宋_GB2312" w:hAnsi="仿宋_GB2312" w:eastAsia="仿宋_GB2312" w:cs="仿宋_GB2312"/>
          <w:sz w:val="32"/>
          <w:szCs w:val="32"/>
        </w:rPr>
        <w:t>高层次人才引进</w:t>
      </w:r>
      <w:r>
        <w:rPr>
          <w:rFonts w:hint="eastAsia" w:cs="仿宋_GB2312"/>
          <w:sz w:val="32"/>
          <w:szCs w:val="32"/>
          <w:lang w:val="en-US" w:eastAsia="zh-CN"/>
        </w:rPr>
        <w:t>力度</w:t>
      </w:r>
      <w:r>
        <w:rPr>
          <w:rFonts w:hint="eastAsia" w:ascii="仿宋_GB2312" w:hAnsi="仿宋_GB2312" w:eastAsia="仿宋_GB2312" w:cs="仿宋_GB2312"/>
          <w:sz w:val="32"/>
          <w:szCs w:val="32"/>
        </w:rPr>
        <w:t>，面向“双一流”高校引进高层次紧缺专业人才</w:t>
      </w:r>
      <w:r>
        <w:rPr>
          <w:rFonts w:hint="eastAsia" w:cs="仿宋_GB2312"/>
          <w:sz w:val="32"/>
          <w:szCs w:val="32"/>
          <w:lang w:eastAsia="zh-CN"/>
        </w:rPr>
        <w:t>。</w:t>
      </w:r>
      <w:r>
        <w:rPr>
          <w:rFonts w:hint="eastAsia" w:cs="仿宋_GB2312"/>
          <w:sz w:val="32"/>
          <w:szCs w:val="32"/>
          <w:lang w:val="en-US" w:eastAsia="zh-CN"/>
        </w:rPr>
        <w:t>截止2020年，全市引进高层次人才252名。加强引才聚才育才平台建设，举办首次市级博士工作站和招才引智示范</w:t>
      </w:r>
      <w:r>
        <w:rPr>
          <w:rFonts w:hint="eastAsia" w:ascii="仿宋_GB2312" w:hAnsi="仿宋_GB2312" w:eastAsia="仿宋_GB2312" w:cs="仿宋_GB2312"/>
          <w:sz w:val="32"/>
          <w:szCs w:val="32"/>
        </w:rPr>
        <w:t>基地评选活动。</w:t>
      </w:r>
      <w:r>
        <w:rPr>
          <w:rFonts w:hint="eastAsia" w:cs="仿宋_GB2312"/>
          <w:sz w:val="32"/>
          <w:szCs w:val="32"/>
          <w:lang w:val="en-US" w:eastAsia="zh-CN"/>
        </w:rPr>
        <w:t>着力开展技能人才培育工作，制定《晋城市创建“人民持证、技能社会”两年行动方案》，</w:t>
      </w:r>
      <w:r>
        <w:rPr>
          <w:rFonts w:hint="eastAsia" w:ascii="仿宋_GB2312" w:hAnsi="仿宋_GB2312" w:eastAsia="仿宋_GB2312" w:cs="仿宋_GB2312"/>
          <w:sz w:val="32"/>
          <w:szCs w:val="32"/>
        </w:rPr>
        <w:t>培训各级各类技能</w:t>
      </w:r>
      <w:r>
        <w:rPr>
          <w:rFonts w:hint="eastAsia" w:cs="仿宋_GB2312"/>
          <w:sz w:val="32"/>
          <w:szCs w:val="32"/>
          <w:lang w:val="en-US" w:eastAsia="zh-CN"/>
        </w:rPr>
        <w:t>人才</w:t>
      </w:r>
      <w:r>
        <w:rPr>
          <w:rFonts w:hint="eastAsia" w:ascii="仿宋_GB2312" w:hAnsi="仿宋_GB2312" w:eastAsia="仿宋_GB2312" w:cs="仿宋_GB2312"/>
          <w:sz w:val="32"/>
          <w:szCs w:val="32"/>
        </w:rPr>
        <w:t>35.4万人。打破全省统一技能工种格局，新开发“蜜蜂养殖、中药材种植、刺绣制作”等专项工种33个，位居全省第一</w:t>
      </w:r>
      <w:r>
        <w:rPr>
          <w:rFonts w:hint="eastAsia" w:cs="仿宋_GB2312"/>
          <w:sz w:val="32"/>
          <w:szCs w:val="32"/>
          <w:lang w:eastAsia="zh-CN"/>
        </w:rPr>
        <w:t>。</w:t>
      </w:r>
      <w:r>
        <w:rPr>
          <w:rFonts w:hint="eastAsia" w:cs="仿宋_GB2312"/>
          <w:sz w:val="32"/>
          <w:szCs w:val="32"/>
          <w:lang w:val="en-US" w:eastAsia="zh-CN"/>
        </w:rPr>
        <w:t>推进创业人才队伍建设，</w:t>
      </w:r>
      <w:r>
        <w:rPr>
          <w:rFonts w:hint="eastAsia" w:ascii="仿宋_GB2312" w:hAnsi="仿宋_GB2312" w:eastAsia="仿宋_GB2312" w:cs="仿宋_GB2312"/>
          <w:sz w:val="32"/>
          <w:szCs w:val="32"/>
        </w:rPr>
        <w:t>完成创业</w:t>
      </w:r>
      <w:r>
        <w:rPr>
          <w:rFonts w:hint="eastAsia" w:cs="仿宋_GB2312"/>
          <w:sz w:val="32"/>
          <w:szCs w:val="32"/>
          <w:lang w:val="en-US" w:eastAsia="zh-CN"/>
        </w:rPr>
        <w:t>人才</w:t>
      </w:r>
      <w:r>
        <w:rPr>
          <w:rFonts w:hint="eastAsia" w:ascii="仿宋_GB2312" w:hAnsi="仿宋_GB2312" w:eastAsia="仿宋_GB2312" w:cs="仿宋_GB2312"/>
          <w:sz w:val="32"/>
          <w:szCs w:val="32"/>
        </w:rPr>
        <w:t>培训1.3万人</w:t>
      </w:r>
      <w:r>
        <w:rPr>
          <w:rFonts w:hint="eastAsia" w:cs="仿宋_GB2312"/>
          <w:sz w:val="32"/>
          <w:szCs w:val="32"/>
          <w:lang w:eastAsia="zh-CN"/>
        </w:rPr>
        <w:t>。</w:t>
      </w:r>
      <w:r>
        <w:rPr>
          <w:rFonts w:hint="eastAsia" w:cs="仿宋_GB2312"/>
          <w:sz w:val="32"/>
          <w:szCs w:val="32"/>
          <w:lang w:val="en-US" w:eastAsia="zh-CN"/>
        </w:rPr>
        <w:t>优化事业单位人员管理，</w:t>
      </w:r>
      <w:r>
        <w:rPr>
          <w:rFonts w:hint="eastAsia" w:ascii="仿宋_GB2312" w:hAnsi="仿宋_GB2312" w:eastAsia="仿宋_GB2312" w:cs="仿宋_GB2312"/>
          <w:sz w:val="32"/>
          <w:szCs w:val="32"/>
        </w:rPr>
        <w:t>全市岗位设置单位490个，覆盖全部事业单位的98%，完成省里下达的事业单位岗位设置任务。</w:t>
      </w:r>
      <w:r>
        <w:rPr>
          <w:rFonts w:hint="eastAsia" w:cs="仿宋_GB2312"/>
          <w:sz w:val="32"/>
          <w:szCs w:val="32"/>
          <w:highlight w:val="cyan"/>
          <w:lang w:eastAsia="zh-CN"/>
        </w:rPr>
        <w:t>（</w:t>
      </w:r>
      <w:r>
        <w:rPr>
          <w:rFonts w:hint="eastAsia" w:cs="仿宋_GB2312"/>
          <w:sz w:val="32"/>
          <w:szCs w:val="32"/>
          <w:highlight w:val="cyan"/>
          <w:lang w:val="en-US" w:eastAsia="zh-CN"/>
        </w:rPr>
        <w:t>数据需更新）</w:t>
      </w:r>
    </w:p>
    <w:p w14:paraId="3481F3E6">
      <w:pPr>
        <w:pStyle w:val="8"/>
        <w:numPr>
          <w:ilvl w:val="0"/>
          <w:numId w:val="0"/>
        </w:numPr>
        <w:bidi w:val="0"/>
        <w:ind w:firstLine="643" w:firstLineChars="200"/>
        <w:rPr>
          <w:rFonts w:hint="eastAsia"/>
        </w:rPr>
      </w:pPr>
      <w:bookmarkStart w:id="5" w:name="_Toc7213"/>
      <w:r>
        <w:rPr>
          <w:rFonts w:hint="eastAsia"/>
          <w:lang w:val="en-US" w:eastAsia="zh-CN"/>
        </w:rPr>
        <w:t>四、</w:t>
      </w:r>
      <w:r>
        <w:rPr>
          <w:rFonts w:hint="eastAsia"/>
        </w:rPr>
        <w:t>劳动关系和谐稳定</w:t>
      </w:r>
      <w:bookmarkEnd w:id="5"/>
    </w:p>
    <w:p w14:paraId="1EF73117">
      <w:pPr>
        <w:spacing w:line="600" w:lineRule="exact"/>
        <w:ind w:firstLine="640" w:firstLineChars="200"/>
        <w:rPr>
          <w:rFonts w:hint="default" w:ascii="仿宋_GB2312" w:hAnsi="仿宋_GB2312" w:eastAsia="仿宋_GB2312" w:cs="仿宋_GB2312"/>
          <w:sz w:val="32"/>
          <w:szCs w:val="32"/>
          <w:highlight w:val="cyan"/>
          <w:lang w:val="en-US" w:eastAsia="zh-CN"/>
        </w:rPr>
      </w:pPr>
      <w:r>
        <w:rPr>
          <w:rFonts w:hint="eastAsia" w:cs="仿宋_GB2312"/>
          <w:sz w:val="32"/>
          <w:szCs w:val="32"/>
          <w:lang w:val="en-US" w:eastAsia="zh-CN"/>
        </w:rPr>
        <w:t>构建和谐劳动关系是保障劳动者权益、促进经济发展的重要内容。</w:t>
      </w:r>
      <w:r>
        <w:rPr>
          <w:rFonts w:hint="eastAsia" w:ascii="仿宋_GB2312" w:hAnsi="仿宋_GB2312" w:eastAsia="仿宋_GB2312" w:cs="仿宋_GB2312"/>
          <w:sz w:val="32"/>
          <w:szCs w:val="32"/>
        </w:rPr>
        <w:t>“十三五”期间，</w:t>
      </w:r>
      <w:r>
        <w:rPr>
          <w:rFonts w:hint="eastAsia" w:cs="仿宋_GB2312"/>
          <w:sz w:val="32"/>
          <w:szCs w:val="32"/>
          <w:lang w:val="en-US" w:eastAsia="zh-CN"/>
        </w:rPr>
        <w:t>我市加强劳动保障检查工作体系建设，努力构建和谐稳定劳动关系。</w:t>
      </w:r>
      <w:r>
        <w:rPr>
          <w:rFonts w:hint="eastAsia" w:ascii="仿宋" w:hAnsi="仿宋" w:eastAsia="仿宋" w:cs="Times New Roman"/>
          <w:sz w:val="32"/>
          <w:szCs w:val="32"/>
        </w:rPr>
        <w:t>坚持网格管理常态化，</w:t>
      </w:r>
      <w:r>
        <w:rPr>
          <w:rFonts w:hint="eastAsia" w:ascii="仿宋" w:hAnsi="仿宋" w:eastAsia="仿宋"/>
          <w:sz w:val="32"/>
          <w:szCs w:val="32"/>
        </w:rPr>
        <w:t>全市共划分劳动保障监察网格433个</w:t>
      </w:r>
      <w:r>
        <w:rPr>
          <w:rFonts w:hint="eastAsia" w:ascii="仿宋" w:hAnsi="仿宋" w:eastAsia="仿宋"/>
          <w:sz w:val="32"/>
          <w:szCs w:val="32"/>
          <w:lang w:eastAsia="zh-CN"/>
        </w:rPr>
        <w:t>，</w:t>
      </w:r>
      <w:r>
        <w:rPr>
          <w:rFonts w:hint="eastAsia" w:ascii="仿宋" w:hAnsi="仿宋" w:eastAsia="仿宋" w:cs="Times New Roman"/>
          <w:sz w:val="32"/>
          <w:szCs w:val="32"/>
        </w:rPr>
        <w:t>加强预警监</w:t>
      </w:r>
      <w:r>
        <w:rPr>
          <w:rFonts w:hint="eastAsia" w:ascii="仿宋_GB2312" w:hAnsi="仿宋_GB2312" w:eastAsia="仿宋_GB2312" w:cs="仿宋_GB2312"/>
          <w:sz w:val="32"/>
          <w:szCs w:val="32"/>
        </w:rPr>
        <w:t>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加强劳动监察员队伍队伍建设，提升执法水平</w:t>
      </w:r>
      <w:r>
        <w:rPr>
          <w:rFonts w:hint="eastAsia" w:cs="仿宋_GB2312"/>
          <w:sz w:val="32"/>
          <w:szCs w:val="32"/>
          <w:lang w:eastAsia="zh-CN"/>
        </w:rPr>
        <w:t>。</w:t>
      </w:r>
      <w:r>
        <w:rPr>
          <w:rFonts w:hint="eastAsia" w:ascii="仿宋_GB2312" w:hAnsi="仿宋_GB2312" w:eastAsia="仿宋_GB2312" w:cs="仿宋_GB2312"/>
          <w:sz w:val="32"/>
          <w:szCs w:val="32"/>
        </w:rPr>
        <w:t>畅通投诉渠道，</w:t>
      </w:r>
      <w:r>
        <w:rPr>
          <w:rFonts w:hint="eastAsia" w:ascii="仿宋_GB2312" w:hAnsi="仿宋_GB2312" w:eastAsia="仿宋_GB2312" w:cs="仿宋_GB2312"/>
          <w:sz w:val="32"/>
          <w:szCs w:val="32"/>
          <w:lang w:val="en-US" w:eastAsia="zh-CN"/>
        </w:rPr>
        <w:t>设置投诉举报电</w:t>
      </w:r>
      <w:r>
        <w:rPr>
          <w:rFonts w:hint="eastAsia" w:ascii="仿宋" w:hAnsi="仿宋" w:eastAsia="仿宋" w:cs="Times New Roman"/>
          <w:sz w:val="32"/>
          <w:szCs w:val="32"/>
          <w:lang w:val="en-US" w:eastAsia="zh-CN"/>
        </w:rPr>
        <w:t>话24小时接听，</w:t>
      </w:r>
      <w:r>
        <w:rPr>
          <w:rFonts w:hint="eastAsia" w:ascii="仿宋" w:hAnsi="仿宋" w:eastAsia="仿宋" w:cs="Times New Roman"/>
          <w:sz w:val="32"/>
          <w:szCs w:val="32"/>
        </w:rPr>
        <w:t>有效处置线索</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截止2020年，</w:t>
      </w:r>
      <w:r>
        <w:rPr>
          <w:rFonts w:hint="eastAsia" w:ascii="仿宋_GB2312" w:hAnsi="仿宋_GB2312" w:eastAsia="仿宋_GB2312" w:cs="仿宋_GB2312"/>
          <w:sz w:val="32"/>
          <w:szCs w:val="32"/>
        </w:rPr>
        <w:t>全市各级劳动保障监察机构主动监察各类用人单位23344户次，涉及劳动者106.68万人次，共受理举报投诉案件471件，结案471件，投诉案件按期结案率始终保持在100%水平。督促用人单位与劳动者补签劳动合同1.29万份</w:t>
      </w:r>
      <w:r>
        <w:rPr>
          <w:rFonts w:hint="eastAsia" w:cs="仿宋_GB2312"/>
          <w:sz w:val="32"/>
          <w:szCs w:val="32"/>
          <w:lang w:eastAsia="zh-CN"/>
        </w:rPr>
        <w:t>，</w:t>
      </w:r>
      <w:r>
        <w:rPr>
          <w:rFonts w:hint="eastAsia" w:ascii="仿宋_GB2312" w:hAnsi="仿宋_GB2312" w:eastAsia="仿宋_GB2312" w:cs="仿宋_GB2312"/>
          <w:sz w:val="32"/>
          <w:szCs w:val="32"/>
        </w:rPr>
        <w:t>累计为5401名劳动者追发工资5487.9万元</w:t>
      </w:r>
      <w:r>
        <w:rPr>
          <w:rFonts w:hint="eastAsia" w:cs="仿宋_GB2312"/>
          <w:sz w:val="32"/>
          <w:szCs w:val="32"/>
          <w:lang w:eastAsia="zh-CN"/>
        </w:rPr>
        <w:t>。</w:t>
      </w:r>
      <w:r>
        <w:rPr>
          <w:rFonts w:hint="eastAsia" w:ascii="仿宋_GB2312" w:hAnsi="仿宋_GB2312" w:eastAsia="仿宋_GB2312" w:cs="仿宋_GB2312"/>
          <w:sz w:val="32"/>
          <w:szCs w:val="32"/>
        </w:rPr>
        <w:t>督促用人单位为2.18万名劳动者补缴各项社会保险费2261.6万元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保障劳动者的合法权益。</w:t>
      </w:r>
      <w:r>
        <w:rPr>
          <w:rFonts w:hint="eastAsia" w:cs="仿宋_GB2312"/>
          <w:sz w:val="32"/>
          <w:szCs w:val="32"/>
          <w:highlight w:val="cyan"/>
          <w:lang w:val="en-US" w:eastAsia="zh-CN"/>
        </w:rPr>
        <w:t>（数据需更新）</w:t>
      </w:r>
    </w:p>
    <w:p w14:paraId="6BD98E2D">
      <w:pPr>
        <w:pStyle w:val="8"/>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五、信息化建设加快推进</w:t>
      </w:r>
    </w:p>
    <w:p w14:paraId="31BABCA6">
      <w:pPr>
        <w:pageBreakBefore w:val="0"/>
        <w:widowControl w:val="0"/>
        <w:kinsoku/>
        <w:wordWrap/>
        <w:overflowPunct/>
        <w:topLinePunct w:val="0"/>
        <w:autoSpaceDE/>
        <w:autoSpaceDN/>
        <w:bidi w:val="0"/>
        <w:adjustRightInd w:val="0"/>
        <w:snapToGrid/>
        <w:ind w:firstLine="640" w:firstLineChars="200"/>
        <w:textAlignment w:val="auto"/>
        <w:rPr>
          <w:rFonts w:hint="eastAsia" w:cs="仿宋_GB2312"/>
          <w:b w:val="0"/>
          <w:bCs/>
          <w:sz w:val="32"/>
          <w:szCs w:val="32"/>
          <w:highlight w:val="cyan"/>
          <w:lang w:val="en-US" w:eastAsia="zh-CN"/>
        </w:rPr>
      </w:pPr>
      <w:r>
        <w:rPr>
          <w:rFonts w:hint="eastAsia" w:ascii="仿宋_GB2312" w:hAnsi="仿宋_GB2312" w:eastAsia="仿宋_GB2312" w:cs="仿宋_GB2312"/>
          <w:sz w:val="32"/>
          <w:szCs w:val="32"/>
          <w:lang w:val="en-US" w:eastAsia="zh-CN"/>
        </w:rPr>
        <w:t>信息化建设是提高人力资源与社会保障工作落实效率的重要抓手。</w:t>
      </w:r>
      <w:r>
        <w:rPr>
          <w:rFonts w:hint="eastAsia" w:cs="仿宋_GB2312"/>
          <w:b w:val="0"/>
          <w:bCs/>
          <w:sz w:val="32"/>
          <w:szCs w:val="32"/>
          <w:lang w:val="en-US" w:eastAsia="zh-CN"/>
        </w:rPr>
        <w:t>“十三五”时期，我市加快公共服务平台的信息化建设水平，不断发挥线上办公优势，大力推进电子社会保障卡发放。</w:t>
      </w:r>
      <w:r>
        <w:rPr>
          <w:rFonts w:hint="eastAsia" w:ascii="仿宋_GB2312" w:hAnsi="仿宋_GB2312" w:eastAsia="仿宋_GB2312" w:cs="仿宋_GB2312"/>
          <w:b w:val="0"/>
          <w:bCs/>
          <w:sz w:val="32"/>
          <w:szCs w:val="32"/>
          <w:lang w:eastAsia="zh-CN"/>
        </w:rPr>
        <w:t>截止2020年</w:t>
      </w:r>
      <w:r>
        <w:rPr>
          <w:rFonts w:hint="eastAsia" w:cs="仿宋_GB2312"/>
          <w:b w:val="0"/>
          <w:bCs/>
          <w:sz w:val="32"/>
          <w:szCs w:val="32"/>
          <w:lang w:val="en-US" w:eastAsia="zh-CN"/>
        </w:rPr>
        <w:t>，</w:t>
      </w:r>
      <w:r>
        <w:rPr>
          <w:rFonts w:hint="eastAsia" w:ascii="仿宋_GB2312" w:hAnsi="仿宋_GB2312" w:eastAsia="仿宋_GB2312" w:cs="仿宋_GB2312"/>
          <w:b w:val="0"/>
          <w:bCs/>
          <w:sz w:val="32"/>
          <w:szCs w:val="32"/>
          <w:lang w:eastAsia="zh-CN"/>
        </w:rPr>
        <w:t>电子社保卡签发量已完成75万张。</w:t>
      </w:r>
      <w:r>
        <w:rPr>
          <w:rFonts w:hint="eastAsia" w:ascii="仿宋_GB2312" w:hAnsi="仿宋_GB2312" w:eastAsia="仿宋_GB2312" w:cs="仿宋_GB2312"/>
          <w:sz w:val="32"/>
          <w:szCs w:val="32"/>
        </w:rPr>
        <w:t>完成全市154万适龄劳动者的信息采集录入工作。投资700多万元，在全省率先建成“智慧人社”互动平台</w:t>
      </w:r>
      <w:r>
        <w:rPr>
          <w:rFonts w:hint="eastAsia" w:cs="仿宋_GB2312"/>
          <w:sz w:val="32"/>
          <w:szCs w:val="32"/>
          <w:lang w:eastAsia="zh-CN"/>
        </w:rPr>
        <w:t>。</w:t>
      </w:r>
      <w:r>
        <w:rPr>
          <w:rFonts w:hint="eastAsia" w:ascii="仿宋_GB2312" w:hAnsi="仿宋_GB2312" w:eastAsia="仿宋_GB2312" w:cs="仿宋_GB2312"/>
          <w:b w:val="0"/>
          <w:bCs/>
          <w:sz w:val="32"/>
          <w:szCs w:val="32"/>
          <w:lang w:eastAsia="zh-CN"/>
        </w:rPr>
        <w:t>12333人力资源和社会保障电话咨询服务自助语音接听量39308，人工接听3120余人次</w:t>
      </w:r>
      <w:r>
        <w:rPr>
          <w:rFonts w:hint="eastAsia" w:cs="仿宋_GB2312"/>
          <w:b w:val="0"/>
          <w:bCs/>
          <w:sz w:val="32"/>
          <w:szCs w:val="32"/>
          <w:lang w:eastAsia="zh-CN"/>
        </w:rPr>
        <w:t>。</w:t>
      </w:r>
      <w:r>
        <w:rPr>
          <w:rFonts w:hint="eastAsia" w:cs="仿宋_GB2312"/>
          <w:b w:val="0"/>
          <w:bCs/>
          <w:sz w:val="32"/>
          <w:szCs w:val="32"/>
          <w:lang w:val="en-US" w:eastAsia="zh-CN"/>
        </w:rPr>
        <w:t>晋城</w:t>
      </w:r>
      <w:r>
        <w:rPr>
          <w:rFonts w:hint="eastAsia" w:ascii="仿宋_GB2312" w:hAnsi="仿宋_GB2312" w:eastAsia="仿宋_GB2312" w:cs="仿宋_GB2312"/>
          <w:b w:val="0"/>
          <w:bCs/>
          <w:sz w:val="32"/>
          <w:szCs w:val="32"/>
          <w:lang w:eastAsia="zh-CN"/>
        </w:rPr>
        <w:t>市人</w:t>
      </w:r>
      <w:r>
        <w:rPr>
          <w:rFonts w:hint="eastAsia" w:cs="仿宋_GB2312"/>
          <w:b w:val="0"/>
          <w:bCs/>
          <w:sz w:val="32"/>
          <w:szCs w:val="32"/>
          <w:lang w:val="en-US" w:eastAsia="zh-CN"/>
        </w:rPr>
        <w:t>力资源和社会保障</w:t>
      </w:r>
      <w:r>
        <w:rPr>
          <w:rFonts w:hint="eastAsia" w:ascii="仿宋_GB2312" w:hAnsi="仿宋_GB2312" w:eastAsia="仿宋_GB2312" w:cs="仿宋_GB2312"/>
          <w:b w:val="0"/>
          <w:bCs/>
          <w:sz w:val="32"/>
          <w:szCs w:val="32"/>
          <w:lang w:eastAsia="zh-CN"/>
        </w:rPr>
        <w:t>局门户网站信息发布信息237条</w:t>
      </w:r>
      <w:r>
        <w:rPr>
          <w:rFonts w:hint="eastAsia" w:cs="仿宋_GB2312"/>
          <w:b w:val="0"/>
          <w:bCs/>
          <w:sz w:val="32"/>
          <w:szCs w:val="32"/>
          <w:lang w:eastAsia="zh-CN"/>
        </w:rPr>
        <w:t>。</w:t>
      </w:r>
      <w:r>
        <w:rPr>
          <w:rFonts w:hint="eastAsia" w:cs="仿宋_GB2312"/>
          <w:b w:val="0"/>
          <w:bCs/>
          <w:sz w:val="32"/>
          <w:szCs w:val="32"/>
          <w:lang w:val="en-US" w:eastAsia="zh-CN"/>
        </w:rPr>
        <w:t>晋城</w:t>
      </w:r>
      <w:r>
        <w:rPr>
          <w:rFonts w:hint="eastAsia" w:ascii="仿宋_GB2312" w:hAnsi="仿宋_GB2312" w:eastAsia="仿宋_GB2312" w:cs="仿宋_GB2312"/>
          <w:b w:val="0"/>
          <w:bCs/>
          <w:sz w:val="32"/>
          <w:szCs w:val="32"/>
          <w:lang w:eastAsia="zh-CN"/>
        </w:rPr>
        <w:t>市人</w:t>
      </w:r>
      <w:r>
        <w:rPr>
          <w:rFonts w:hint="eastAsia" w:cs="仿宋_GB2312"/>
          <w:b w:val="0"/>
          <w:bCs/>
          <w:sz w:val="32"/>
          <w:szCs w:val="32"/>
          <w:lang w:val="en-US" w:eastAsia="zh-CN"/>
        </w:rPr>
        <w:t>力资源和社会保障</w:t>
      </w:r>
      <w:r>
        <w:rPr>
          <w:rFonts w:hint="eastAsia" w:ascii="仿宋_GB2312" w:hAnsi="仿宋_GB2312" w:eastAsia="仿宋_GB2312" w:cs="仿宋_GB2312"/>
          <w:b w:val="0"/>
          <w:bCs/>
          <w:sz w:val="32"/>
          <w:szCs w:val="32"/>
          <w:lang w:eastAsia="zh-CN"/>
        </w:rPr>
        <w:t>局门户网站咨询回复量586余条，回复率100%，准确率98%以上</w:t>
      </w:r>
      <w:r>
        <w:rPr>
          <w:rFonts w:hint="eastAsia" w:cs="仿宋_GB2312"/>
          <w:b w:val="0"/>
          <w:bCs/>
          <w:sz w:val="32"/>
          <w:szCs w:val="32"/>
          <w:lang w:eastAsia="zh-CN"/>
        </w:rPr>
        <w:t>。</w:t>
      </w:r>
      <w:r>
        <w:rPr>
          <w:rFonts w:hint="eastAsia" w:cs="仿宋_GB2312"/>
          <w:b w:val="0"/>
          <w:bCs/>
          <w:sz w:val="32"/>
          <w:szCs w:val="32"/>
          <w:highlight w:val="cyan"/>
          <w:lang w:eastAsia="zh-CN"/>
        </w:rPr>
        <w:t>（</w:t>
      </w:r>
      <w:r>
        <w:rPr>
          <w:rFonts w:hint="eastAsia" w:cs="仿宋_GB2312"/>
          <w:b w:val="0"/>
          <w:bCs/>
          <w:sz w:val="32"/>
          <w:szCs w:val="32"/>
          <w:highlight w:val="cyan"/>
          <w:lang w:val="en-US" w:eastAsia="zh-CN"/>
        </w:rPr>
        <w:t>数据需更新）</w:t>
      </w:r>
    </w:p>
    <w:p w14:paraId="187E5217">
      <w:pPr>
        <w:pStyle w:val="7"/>
        <w:numPr>
          <w:ilvl w:val="0"/>
          <w:numId w:val="0"/>
        </w:numPr>
        <w:bidi w:val="0"/>
        <w:ind w:leftChars="0"/>
        <w:jc w:val="center"/>
        <w:rPr>
          <w:rFonts w:hint="default"/>
          <w:lang w:val="en-US" w:eastAsia="zh-CN"/>
        </w:rPr>
      </w:pPr>
      <w:bookmarkStart w:id="6" w:name="_Toc21116"/>
      <w:r>
        <w:rPr>
          <w:rFonts w:hint="eastAsia" w:ascii="宋体" w:hAnsi="宋体" w:eastAsia="宋体" w:cs="宋体"/>
          <w:lang w:val="en-US" w:eastAsia="zh-CN"/>
        </w:rPr>
        <w:t xml:space="preserve">第二节 </w:t>
      </w:r>
      <w:r>
        <w:rPr>
          <w:rFonts w:hint="eastAsia" w:ascii="宋体" w:hAnsi="宋体" w:eastAsia="宋体" w:cs="宋体"/>
        </w:rPr>
        <w:t>面临</w:t>
      </w:r>
      <w:r>
        <w:rPr>
          <w:rFonts w:hint="eastAsia" w:ascii="宋体" w:hAnsi="宋体" w:eastAsia="宋体" w:cs="宋体"/>
          <w:lang w:val="en-US" w:eastAsia="zh-CN"/>
        </w:rPr>
        <w:t>挑战</w:t>
      </w:r>
      <w:bookmarkEnd w:id="6"/>
      <w:bookmarkStart w:id="7" w:name="_Toc23033"/>
    </w:p>
    <w:p w14:paraId="4D54CD8B">
      <w:pPr>
        <w:pStyle w:val="8"/>
        <w:numPr>
          <w:ilvl w:val="0"/>
          <w:numId w:val="2"/>
        </w:numPr>
        <w:bidi w:val="0"/>
        <w:rPr>
          <w:rFonts w:hint="eastAsia"/>
          <w:lang w:val="en-US" w:eastAsia="zh-CN"/>
        </w:rPr>
      </w:pPr>
      <w:r>
        <w:rPr>
          <w:rFonts w:hint="eastAsia"/>
          <w:lang w:val="en-US" w:eastAsia="zh-CN"/>
        </w:rPr>
        <w:t>转型发展需要更有力的人才支撑</w:t>
      </w:r>
      <w:bookmarkEnd w:id="7"/>
      <w:bookmarkStart w:id="8" w:name="_Toc31929"/>
    </w:p>
    <w:p w14:paraId="3881C818">
      <w:pPr>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人才是</w:t>
      </w:r>
      <w:r>
        <w:rPr>
          <w:rFonts w:hint="eastAsia" w:cs="仿宋_GB2312"/>
          <w:b w:val="0"/>
          <w:kern w:val="2"/>
          <w:sz w:val="32"/>
          <w:szCs w:val="32"/>
          <w:lang w:val="en-US" w:eastAsia="zh-CN" w:bidi="ar-SA"/>
        </w:rPr>
        <w:t>推动我市高质量转型发展的</w:t>
      </w:r>
      <w:r>
        <w:rPr>
          <w:rFonts w:hint="eastAsia" w:ascii="仿宋_GB2312" w:hAnsi="仿宋_GB2312" w:eastAsia="仿宋_GB2312" w:cs="仿宋_GB2312"/>
          <w:b w:val="0"/>
          <w:kern w:val="2"/>
          <w:sz w:val="32"/>
          <w:szCs w:val="32"/>
          <w:lang w:val="en-US" w:eastAsia="zh-CN" w:bidi="ar-SA"/>
        </w:rPr>
        <w:t>第一资源。</w:t>
      </w:r>
      <w:r>
        <w:rPr>
          <w:rFonts w:hint="eastAsia" w:cs="仿宋_GB2312"/>
          <w:b w:val="0"/>
          <w:kern w:val="2"/>
          <w:sz w:val="32"/>
          <w:szCs w:val="32"/>
          <w:lang w:val="en-US" w:eastAsia="zh-CN" w:bidi="ar-SA"/>
        </w:rPr>
        <w:t>“十四五”时期是我市转变发展方式、优化经济结构、转化增长动力的重要时期。新一轮科技革命和产业变革为经济增长带来新的动能。中部地区崛起、黄河流域生态保护和高质量发展等国家战略为我市提供前所未有的发展机遇。但同时我市仍然面临与新发展阶段不相匹配的掣肘，“一煤独大”结构性矛盾尚未从根本上得以解决，发展不充分、不平衡、不协调问题特征明显，产业转型压力大，高层次创新人才匮乏，结构性人才矛盾突出。准确把握新机遇新挑战，全面加快趟新路步伐，需要一支充满活力和创新精神的高水平人才队伍。以人才引领创新、以创新驱动发展，为经济转型升级提供坚强人才支撑。</w:t>
      </w:r>
    </w:p>
    <w:p w14:paraId="2C48E204">
      <w:pPr>
        <w:pStyle w:val="8"/>
        <w:numPr>
          <w:ilvl w:val="0"/>
          <w:numId w:val="2"/>
        </w:numPr>
        <w:bidi w:val="0"/>
        <w:rPr>
          <w:rFonts w:hint="eastAsia"/>
          <w:lang w:val="en-US" w:eastAsia="zh-CN"/>
        </w:rPr>
      </w:pPr>
      <w:r>
        <w:rPr>
          <w:rFonts w:hint="eastAsia"/>
          <w:lang w:val="en-US" w:eastAsia="zh-CN"/>
        </w:rPr>
        <w:t>人民群众对美好生活提出更高要求</w:t>
      </w:r>
      <w:bookmarkEnd w:id="8"/>
      <w:bookmarkStart w:id="9" w:name="_Toc25667"/>
    </w:p>
    <w:p w14:paraId="30F1A37E">
      <w:pPr>
        <w:keepNext w:val="0"/>
        <w:keepLines w:val="0"/>
        <w:pageBreakBefore w:val="0"/>
        <w:widowControl w:val="0"/>
        <w:numPr>
          <w:ilvl w:val="0"/>
          <w:numId w:val="0"/>
        </w:numPr>
        <w:kinsoku/>
        <w:wordWrap/>
        <w:overflowPunct/>
        <w:topLinePunct w:val="0"/>
        <w:autoSpaceDE/>
        <w:autoSpaceDN/>
        <w:bidi w:val="0"/>
        <w:adjustRightInd w:val="0"/>
        <w:snapToGrid/>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以人民为中心是一切工作的出发点和落脚点。“十四五”时期</w:t>
      </w:r>
      <w:r>
        <w:rPr>
          <w:rFonts w:hint="eastAsia" w:cs="仿宋_GB2312"/>
          <w:b w:val="0"/>
          <w:kern w:val="2"/>
          <w:sz w:val="32"/>
          <w:szCs w:val="32"/>
          <w:lang w:val="en-US" w:eastAsia="zh-CN" w:bidi="ar-SA"/>
        </w:rPr>
        <w:t>，</w:t>
      </w:r>
      <w:r>
        <w:rPr>
          <w:rFonts w:hint="eastAsia" w:ascii="仿宋_GB2312" w:hAnsi="仿宋_GB2312" w:eastAsia="仿宋_GB2312" w:cs="仿宋_GB2312"/>
          <w:b w:val="0"/>
          <w:kern w:val="2"/>
          <w:sz w:val="32"/>
          <w:szCs w:val="32"/>
          <w:lang w:val="en-US" w:eastAsia="zh-CN" w:bidi="ar-SA"/>
        </w:rPr>
        <w:t>人民对美好生活的向往</w:t>
      </w:r>
      <w:r>
        <w:rPr>
          <w:rFonts w:hint="eastAsia" w:cs="仿宋_GB2312"/>
          <w:b w:val="0"/>
          <w:kern w:val="2"/>
          <w:sz w:val="32"/>
          <w:szCs w:val="32"/>
          <w:lang w:val="en-US" w:eastAsia="zh-CN" w:bidi="ar-SA"/>
        </w:rPr>
        <w:t>势必</w:t>
      </w:r>
      <w:r>
        <w:rPr>
          <w:rFonts w:hint="eastAsia" w:ascii="仿宋_GB2312" w:hAnsi="仿宋_GB2312" w:eastAsia="仿宋_GB2312" w:cs="仿宋_GB2312"/>
          <w:b w:val="0"/>
          <w:kern w:val="2"/>
          <w:sz w:val="32"/>
          <w:szCs w:val="32"/>
          <w:lang w:val="en-US" w:eastAsia="zh-CN" w:bidi="ar-SA"/>
        </w:rPr>
        <w:t>呈现多样化、多层次、多方面的特点。</w:t>
      </w:r>
      <w:r>
        <w:rPr>
          <w:rFonts w:hint="eastAsia" w:cs="仿宋_GB2312"/>
          <w:b w:val="0"/>
          <w:kern w:val="2"/>
          <w:sz w:val="32"/>
          <w:szCs w:val="32"/>
          <w:lang w:val="en-US" w:eastAsia="zh-CN" w:bidi="ar-SA"/>
        </w:rPr>
        <w:t>我市综合经济实力要保持全省前列，进入中原城市群第一方阵，实现更高质量更有效率更加公平更可持续更为安全的发展，更要</w:t>
      </w:r>
      <w:r>
        <w:rPr>
          <w:rFonts w:hint="eastAsia" w:ascii="仿宋_GB2312" w:hAnsi="仿宋_GB2312" w:eastAsia="仿宋_GB2312" w:cs="仿宋_GB2312"/>
          <w:b w:val="0"/>
          <w:kern w:val="2"/>
          <w:sz w:val="32"/>
          <w:szCs w:val="32"/>
          <w:lang w:val="en-US" w:eastAsia="zh-CN" w:bidi="ar-SA"/>
        </w:rPr>
        <w:t>坚持和完善各项民生保障制度，进一步健全基本公共服务制度体系，切实解决好人民最关心最直接最现实的利益问题</w:t>
      </w:r>
      <w:r>
        <w:rPr>
          <w:rFonts w:hint="eastAsia" w:cs="仿宋_GB2312"/>
          <w:b w:val="0"/>
          <w:kern w:val="2"/>
          <w:sz w:val="32"/>
          <w:szCs w:val="32"/>
          <w:lang w:val="en-US" w:eastAsia="zh-CN" w:bidi="ar-SA"/>
        </w:rPr>
        <w:t>。</w:t>
      </w:r>
      <w:r>
        <w:rPr>
          <w:rFonts w:hint="eastAsia" w:ascii="仿宋_GB2312" w:hAnsi="仿宋_GB2312" w:eastAsia="仿宋_GB2312" w:cs="仿宋_GB2312"/>
          <w:b w:val="0"/>
          <w:kern w:val="2"/>
          <w:sz w:val="32"/>
          <w:szCs w:val="32"/>
          <w:lang w:val="en-US" w:eastAsia="zh-CN" w:bidi="ar-SA"/>
        </w:rPr>
        <w:t>更深层次增进民生福祉，促进全体人民共同富裕，更好满足人民对美好生活的向往，让经济社会发展的红利为全体人民共享</w:t>
      </w:r>
      <w:r>
        <w:rPr>
          <w:rFonts w:hint="eastAsia" w:cs="仿宋_GB2312"/>
          <w:b w:val="0"/>
          <w:kern w:val="2"/>
          <w:sz w:val="32"/>
          <w:szCs w:val="32"/>
          <w:lang w:val="en-US" w:eastAsia="zh-CN" w:bidi="ar-SA"/>
        </w:rPr>
        <w:t>，</w:t>
      </w:r>
      <w:r>
        <w:rPr>
          <w:rFonts w:hint="eastAsia" w:ascii="仿宋_GB2312" w:hAnsi="仿宋_GB2312" w:eastAsia="仿宋_GB2312" w:cs="仿宋_GB2312"/>
          <w:b w:val="0"/>
          <w:kern w:val="2"/>
          <w:sz w:val="32"/>
          <w:szCs w:val="32"/>
          <w:lang w:val="en-US" w:eastAsia="zh-CN" w:bidi="ar-SA"/>
        </w:rPr>
        <w:t>推动人的全面发展</w:t>
      </w:r>
      <w:r>
        <w:rPr>
          <w:rFonts w:hint="eastAsia" w:cs="仿宋_GB2312"/>
          <w:b w:val="0"/>
          <w:kern w:val="2"/>
          <w:sz w:val="32"/>
          <w:szCs w:val="32"/>
          <w:lang w:val="en-US" w:eastAsia="zh-CN" w:bidi="ar-SA"/>
        </w:rPr>
        <w:t>，促进</w:t>
      </w:r>
      <w:r>
        <w:rPr>
          <w:rFonts w:hint="eastAsia" w:ascii="仿宋_GB2312" w:hAnsi="仿宋_GB2312" w:eastAsia="仿宋_GB2312" w:cs="仿宋_GB2312"/>
          <w:b w:val="0"/>
          <w:kern w:val="2"/>
          <w:sz w:val="32"/>
          <w:szCs w:val="32"/>
          <w:lang w:val="en-US" w:eastAsia="zh-CN" w:bidi="ar-SA"/>
        </w:rPr>
        <w:t>社会全面进步，不断提高人民群众的获得感、幸福感、安全感。</w:t>
      </w:r>
    </w:p>
    <w:p w14:paraId="62F31C39">
      <w:pPr>
        <w:pStyle w:val="8"/>
        <w:bidi w:val="0"/>
        <w:rPr>
          <w:rFonts w:hint="default"/>
          <w:lang w:val="en-US" w:eastAsia="zh-CN"/>
        </w:rPr>
      </w:pPr>
      <w:r>
        <w:rPr>
          <w:rFonts w:hint="eastAsia"/>
          <w:lang w:val="en-US" w:eastAsia="zh-CN"/>
        </w:rPr>
        <w:t>三、提升城市吸引力和竞争力呈现新特征</w:t>
      </w:r>
      <w:bookmarkEnd w:id="9"/>
    </w:p>
    <w:p w14:paraId="52CBD7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2020年，晋城在全省综合经济竞争力排名第2名，在全国排名第155名。</w:t>
      </w:r>
      <w:r>
        <w:rPr>
          <w:rFonts w:hint="eastAsia" w:ascii="仿宋" w:hAnsi="仿宋" w:eastAsia="仿宋" w:cs="仿宋"/>
          <w:i w:val="0"/>
          <w:caps w:val="0"/>
          <w:color w:val="191919"/>
          <w:spacing w:val="0"/>
          <w:sz w:val="32"/>
          <w:szCs w:val="32"/>
          <w:shd w:val="clear" w:fill="FFFFFF"/>
        </w:rPr>
        <w:t>以转型改变城市</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i w:val="0"/>
          <w:caps w:val="0"/>
          <w:color w:val="191919"/>
          <w:spacing w:val="0"/>
          <w:sz w:val="32"/>
          <w:szCs w:val="32"/>
          <w:shd w:val="clear" w:fill="FFFFFF"/>
        </w:rPr>
        <w:t>以城市推动转型</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i w:val="0"/>
          <w:caps w:val="0"/>
          <w:color w:val="191919"/>
          <w:spacing w:val="0"/>
          <w:sz w:val="32"/>
          <w:szCs w:val="32"/>
          <w:shd w:val="clear" w:fill="FFFFFF"/>
          <w:lang w:val="en-US" w:eastAsia="zh-CN"/>
        </w:rPr>
        <w:t>逐步</w:t>
      </w:r>
      <w:r>
        <w:rPr>
          <w:rFonts w:hint="eastAsia" w:ascii="仿宋" w:hAnsi="仿宋" w:eastAsia="仿宋" w:cs="仿宋"/>
          <w:i w:val="0"/>
          <w:caps w:val="0"/>
          <w:color w:val="191919"/>
          <w:spacing w:val="0"/>
          <w:sz w:val="32"/>
          <w:szCs w:val="32"/>
          <w:shd w:val="clear" w:fill="FFFFFF"/>
        </w:rPr>
        <w:t>形成区域融合、产城融合、城乡融合的生动局面</w:t>
      </w:r>
      <w:r>
        <w:rPr>
          <w:rFonts w:hint="eastAsia" w:ascii="仿宋" w:hAnsi="仿宋" w:eastAsia="仿宋" w:cs="仿宋"/>
          <w:i w:val="0"/>
          <w:caps w:val="0"/>
          <w:color w:val="191919"/>
          <w:spacing w:val="0"/>
          <w:sz w:val="32"/>
          <w:szCs w:val="32"/>
          <w:shd w:val="clear" w:fill="FFFFFF"/>
          <w:lang w:val="en-US" w:eastAsia="zh-CN"/>
        </w:rPr>
        <w:t>是未来五年晋城提升城市吸引力和竞争力的发展方向。</w:t>
      </w:r>
      <w:r>
        <w:rPr>
          <w:rFonts w:hint="eastAsia" w:ascii="仿宋_GB2312" w:hAnsi="仿宋_GB2312" w:eastAsia="仿宋_GB2312" w:cs="仿宋_GB2312"/>
          <w:b w:val="0"/>
          <w:kern w:val="2"/>
          <w:sz w:val="32"/>
          <w:szCs w:val="32"/>
          <w:lang w:val="en-US" w:eastAsia="zh-CN" w:bidi="ar-SA"/>
        </w:rPr>
        <w:t>处于新发展阶段的晋城，更要主动积极融入新发展格局，坚持高起点规划、高质量建设、高效率推进，不断提升城市品质，扩大对外开放，强化城市创新，着力城市精细化管理，构筑人才汇集的“高地”，成就人人皆可成才的梦想，织密社会保障的安全网，加快提高人民生活水平，推动城市综合实力和竞争力再上新台阶，开创全面崛起新局面。</w:t>
      </w:r>
    </w:p>
    <w:p w14:paraId="1FAE7979">
      <w:pPr>
        <w:pStyle w:val="7"/>
        <w:bidi w:val="0"/>
        <w:ind w:left="0" w:leftChars="0" w:firstLine="0" w:firstLineChars="0"/>
        <w:jc w:val="center"/>
        <w:rPr>
          <w:rFonts w:hint="eastAsia" w:ascii="宋体" w:hAnsi="宋体" w:eastAsia="宋体" w:cs="宋体"/>
        </w:rPr>
      </w:pPr>
      <w:bookmarkStart w:id="10" w:name="_Toc15246"/>
      <w:r>
        <w:rPr>
          <w:rFonts w:hint="eastAsia" w:ascii="宋体" w:hAnsi="宋体" w:eastAsia="宋体" w:cs="宋体"/>
        </w:rPr>
        <w:t>第三节 指导思想</w:t>
      </w:r>
      <w:bookmarkEnd w:id="10"/>
    </w:p>
    <w:p w14:paraId="65C67A5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_GB2312" w:cs="Times New Roman"/>
          <w:kern w:val="0"/>
          <w:sz w:val="32"/>
          <w:szCs w:val="32"/>
          <w:lang w:val="en-US" w:eastAsia="zh-CN"/>
        </w:rPr>
      </w:pPr>
      <w:r>
        <w:rPr>
          <w:rFonts w:hint="eastAsia" w:ascii="黑体" w:hAnsi="黑体" w:eastAsia="黑体" w:cs="黑体"/>
          <w:kern w:val="0"/>
          <w:sz w:val="32"/>
          <w:szCs w:val="32"/>
        </w:rPr>
        <w:t>高举中国特色社会主义伟大旗帜，</w:t>
      </w:r>
      <w:r>
        <w:rPr>
          <w:rFonts w:hint="eastAsia" w:ascii="黑体" w:hAnsi="黑体" w:eastAsia="黑体" w:cs="黑体"/>
          <w:kern w:val="0"/>
          <w:sz w:val="32"/>
          <w:szCs w:val="32"/>
          <w:lang w:eastAsia="zh-CN"/>
        </w:rPr>
        <w:t>深入</w:t>
      </w:r>
      <w:r>
        <w:rPr>
          <w:rFonts w:hint="eastAsia" w:ascii="黑体" w:hAnsi="黑体" w:eastAsia="黑体" w:cs="黑体"/>
          <w:sz w:val="32"/>
          <w:szCs w:val="32"/>
        </w:rPr>
        <w:t>贯彻党的十九大和十九届二中、三中、四中</w:t>
      </w:r>
      <w:r>
        <w:rPr>
          <w:rFonts w:hint="eastAsia" w:ascii="黑体" w:hAnsi="黑体" w:eastAsia="黑体" w:cs="黑体"/>
          <w:sz w:val="32"/>
          <w:szCs w:val="32"/>
          <w:lang w:eastAsia="zh-CN"/>
        </w:rPr>
        <w:t>、五中</w:t>
      </w:r>
      <w:r>
        <w:rPr>
          <w:rFonts w:hint="eastAsia" w:ascii="黑体" w:hAnsi="黑体" w:eastAsia="黑体" w:cs="黑体"/>
          <w:sz w:val="32"/>
          <w:szCs w:val="32"/>
        </w:rPr>
        <w:t>全会精神，</w:t>
      </w:r>
      <w:r>
        <w:rPr>
          <w:rFonts w:hint="eastAsia" w:ascii="黑体" w:hAnsi="黑体" w:eastAsia="黑体" w:cs="黑体"/>
          <w:kern w:val="0"/>
          <w:sz w:val="32"/>
          <w:szCs w:val="32"/>
        </w:rPr>
        <w:t>坚持以马克思列宁主义、毛泽东思想、邓小平理论、“三个代表”重要思想、科学发展观、习近平新时代中国特色社会主义思想为指导，</w:t>
      </w:r>
      <w:r>
        <w:rPr>
          <w:rFonts w:hint="eastAsia" w:ascii="黑体" w:hAnsi="黑体" w:eastAsia="黑体" w:cs="黑体"/>
          <w:kern w:val="0"/>
          <w:sz w:val="32"/>
          <w:szCs w:val="32"/>
          <w:lang w:val="en-US" w:eastAsia="zh-CN"/>
        </w:rPr>
        <w:t>全面贯彻</w:t>
      </w:r>
      <w:r>
        <w:rPr>
          <w:rFonts w:hint="eastAsia" w:ascii="黑体" w:hAnsi="黑体" w:eastAsia="黑体" w:cs="黑体"/>
          <w:kern w:val="0"/>
          <w:sz w:val="32"/>
          <w:szCs w:val="32"/>
          <w:lang w:eastAsia="zh-CN"/>
        </w:rPr>
        <w:t>新发展理念，</w:t>
      </w:r>
      <w:r>
        <w:rPr>
          <w:rFonts w:hint="eastAsia" w:ascii="黑体" w:hAnsi="黑体" w:eastAsia="黑体" w:cs="黑体"/>
          <w:kern w:val="0"/>
          <w:sz w:val="32"/>
          <w:szCs w:val="32"/>
          <w:lang w:val="en-US" w:eastAsia="zh-CN"/>
        </w:rPr>
        <w:t>构建新发展格局，按照省委“四为四高两同步”总体思路和要求，坚持山西大发展、晋城要先行，</w:t>
      </w:r>
      <w:r>
        <w:rPr>
          <w:rFonts w:hint="eastAsia" w:ascii="黑体" w:hAnsi="黑体" w:eastAsia="黑体" w:cs="黑体"/>
          <w:kern w:val="0"/>
          <w:sz w:val="32"/>
          <w:szCs w:val="32"/>
          <w:lang w:eastAsia="zh-CN"/>
        </w:rPr>
        <w:t>以改革创新为根本动力，以满足人民日益增长的美好生活需要为根本目的，</w:t>
      </w:r>
      <w:r>
        <w:rPr>
          <w:rFonts w:hint="eastAsia" w:ascii="黑体" w:hAnsi="黑体" w:eastAsia="黑体" w:cs="黑体"/>
          <w:sz w:val="32"/>
          <w:szCs w:val="32"/>
          <w:lang w:eastAsia="zh-CN"/>
        </w:rPr>
        <w:t>强化就业优先政策，健全多层次社会保障体系，</w:t>
      </w:r>
      <w:r>
        <w:rPr>
          <w:rFonts w:hint="eastAsia" w:ascii="黑体" w:hAnsi="黑体" w:eastAsia="黑体" w:cs="黑体"/>
          <w:sz w:val="32"/>
          <w:szCs w:val="32"/>
          <w:u w:val="none"/>
          <w:lang w:eastAsia="zh-CN"/>
        </w:rPr>
        <w:t>实行更积极更开放的人才政策，健全劳动关系协调机制，</w:t>
      </w:r>
      <w:r>
        <w:rPr>
          <w:rFonts w:hint="eastAsia" w:ascii="黑体" w:hAnsi="黑体" w:eastAsia="黑体" w:cs="黑体"/>
          <w:sz w:val="32"/>
          <w:szCs w:val="32"/>
          <w:u w:val="none"/>
          <w:lang w:val="en-US" w:eastAsia="zh-CN"/>
        </w:rPr>
        <w:t>提供更均衡更优质的人社公共服务，促进</w:t>
      </w:r>
      <w:r>
        <w:rPr>
          <w:rFonts w:hint="eastAsia" w:ascii="黑体" w:hAnsi="黑体" w:eastAsia="黑体" w:cs="黑体"/>
          <w:kern w:val="0"/>
          <w:sz w:val="32"/>
          <w:szCs w:val="32"/>
          <w:lang w:val="en-US" w:eastAsia="zh-CN"/>
        </w:rPr>
        <w:t>人的全面发展，保障</w:t>
      </w:r>
      <w:r>
        <w:rPr>
          <w:rFonts w:hint="eastAsia" w:ascii="黑体" w:hAnsi="黑体" w:eastAsia="黑体" w:cs="黑体"/>
          <w:kern w:val="0"/>
          <w:sz w:val="32"/>
          <w:szCs w:val="32"/>
          <w:lang w:eastAsia="zh-CN"/>
        </w:rPr>
        <w:t>经济行稳致远，</w:t>
      </w:r>
      <w:r>
        <w:rPr>
          <w:rFonts w:hint="eastAsia" w:ascii="黑体" w:hAnsi="黑体" w:eastAsia="黑体" w:cs="黑体"/>
          <w:kern w:val="0"/>
          <w:sz w:val="32"/>
          <w:szCs w:val="32"/>
          <w:lang w:val="en-US" w:eastAsia="zh-CN"/>
        </w:rPr>
        <w:t>维护</w:t>
      </w:r>
      <w:r>
        <w:rPr>
          <w:rFonts w:hint="eastAsia" w:ascii="黑体" w:hAnsi="黑体" w:eastAsia="黑体" w:cs="黑体"/>
          <w:kern w:val="0"/>
          <w:sz w:val="32"/>
          <w:szCs w:val="32"/>
          <w:lang w:eastAsia="zh-CN"/>
        </w:rPr>
        <w:t>社会安定和谐，为</w:t>
      </w:r>
      <w:r>
        <w:rPr>
          <w:rFonts w:hint="eastAsia" w:ascii="黑体" w:hAnsi="黑体" w:eastAsia="黑体" w:cs="黑体"/>
          <w:kern w:val="0"/>
          <w:sz w:val="32"/>
          <w:szCs w:val="32"/>
          <w:lang w:val="en-US" w:eastAsia="zh-CN"/>
        </w:rPr>
        <w:t>晋城</w:t>
      </w:r>
      <w:r>
        <w:rPr>
          <w:rFonts w:hint="eastAsia" w:ascii="黑体" w:hAnsi="黑体" w:eastAsia="黑体" w:cs="黑体"/>
          <w:kern w:val="0"/>
          <w:sz w:val="32"/>
          <w:szCs w:val="32"/>
          <w:lang w:eastAsia="zh-CN"/>
        </w:rPr>
        <w:t>全面</w:t>
      </w:r>
      <w:r>
        <w:rPr>
          <w:rFonts w:hint="eastAsia" w:ascii="黑体" w:hAnsi="黑体" w:eastAsia="黑体" w:cs="黑体"/>
          <w:kern w:val="0"/>
          <w:sz w:val="32"/>
          <w:szCs w:val="32"/>
          <w:lang w:val="en-US" w:eastAsia="zh-CN"/>
        </w:rPr>
        <w:t>建设</w:t>
      </w:r>
      <w:r>
        <w:rPr>
          <w:rFonts w:hint="eastAsia" w:ascii="黑体" w:hAnsi="黑体" w:eastAsia="黑体" w:cs="黑体"/>
          <w:kern w:val="0"/>
          <w:sz w:val="32"/>
          <w:szCs w:val="32"/>
          <w:lang w:eastAsia="zh-CN"/>
        </w:rPr>
        <w:t>社会主义现代化</w:t>
      </w:r>
      <w:r>
        <w:rPr>
          <w:rFonts w:hint="eastAsia" w:ascii="黑体" w:hAnsi="黑体" w:eastAsia="黑体" w:cs="黑体"/>
          <w:kern w:val="0"/>
          <w:sz w:val="32"/>
          <w:szCs w:val="32"/>
          <w:lang w:val="en-US" w:eastAsia="zh-CN"/>
        </w:rPr>
        <w:t>国家</w:t>
      </w:r>
      <w:bookmarkStart w:id="64" w:name="_GoBack"/>
      <w:bookmarkEnd w:id="64"/>
      <w:r>
        <w:rPr>
          <w:rFonts w:hint="eastAsia" w:ascii="黑体" w:hAnsi="黑体" w:eastAsia="黑体" w:cs="黑体"/>
          <w:kern w:val="0"/>
          <w:sz w:val="32"/>
          <w:szCs w:val="32"/>
          <w:lang w:val="en-US" w:eastAsia="zh-CN"/>
        </w:rPr>
        <w:t>新征程</w:t>
      </w:r>
      <w:r>
        <w:rPr>
          <w:rFonts w:hint="eastAsia" w:ascii="黑体" w:hAnsi="黑体" w:eastAsia="黑体" w:cs="黑体"/>
          <w:kern w:val="0"/>
          <w:sz w:val="32"/>
          <w:szCs w:val="32"/>
          <w:lang w:eastAsia="zh-CN"/>
        </w:rPr>
        <w:t>开好局、起好步。</w:t>
      </w:r>
    </w:p>
    <w:p w14:paraId="139FFCE4">
      <w:pPr>
        <w:pStyle w:val="7"/>
        <w:bidi w:val="0"/>
        <w:ind w:left="0" w:leftChars="0" w:firstLine="0" w:firstLineChars="0"/>
        <w:jc w:val="center"/>
        <w:rPr>
          <w:rFonts w:hint="eastAsia" w:ascii="宋体" w:hAnsi="宋体" w:eastAsia="宋体" w:cs="宋体"/>
          <w:lang w:val="en-US" w:eastAsia="zh-CN"/>
        </w:rPr>
      </w:pPr>
      <w:bookmarkStart w:id="11" w:name="_Toc27961"/>
      <w:r>
        <w:rPr>
          <w:rFonts w:hint="eastAsia" w:ascii="宋体" w:hAnsi="宋体" w:eastAsia="宋体" w:cs="宋体"/>
          <w:lang w:val="en-US" w:eastAsia="zh-CN"/>
        </w:rPr>
        <w:t>第四节 基本原则</w:t>
      </w:r>
      <w:bookmarkEnd w:id="11"/>
    </w:p>
    <w:p w14:paraId="33662F4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坚持党的全面领导。</w:t>
      </w:r>
      <w:r>
        <w:rPr>
          <w:rFonts w:hint="default" w:ascii="Times New Roman" w:hAnsi="Times New Roman" w:eastAsia="仿宋_GB2312" w:cs="Times New Roman"/>
          <w:kern w:val="2"/>
          <w:sz w:val="32"/>
          <w:szCs w:val="32"/>
          <w:lang w:val="en-US" w:eastAsia="zh-CN" w:bidi="ar-SA"/>
        </w:rPr>
        <w:t>坚持和完善党领导</w:t>
      </w:r>
      <w:r>
        <w:rPr>
          <w:rFonts w:hint="eastAsia" w:ascii="Times New Roman" w:hAnsi="Times New Roman" w:eastAsia="仿宋_GB2312" w:cs="Times New Roman"/>
          <w:kern w:val="2"/>
          <w:sz w:val="32"/>
          <w:szCs w:val="32"/>
          <w:lang w:val="en-US" w:eastAsia="zh-CN" w:bidi="ar-SA"/>
        </w:rPr>
        <w:t>人力资源和社会保障事业</w:t>
      </w:r>
      <w:r>
        <w:rPr>
          <w:rFonts w:hint="default" w:ascii="Times New Roman" w:hAnsi="Times New Roman" w:eastAsia="仿宋_GB2312" w:cs="Times New Roman"/>
          <w:kern w:val="2"/>
          <w:sz w:val="32"/>
          <w:szCs w:val="32"/>
          <w:lang w:val="en-US" w:eastAsia="zh-CN" w:bidi="ar-SA"/>
        </w:rPr>
        <w:t>的体制机制，</w:t>
      </w:r>
      <w:r>
        <w:rPr>
          <w:rFonts w:hint="eastAsia" w:ascii="Times New Roman" w:hAnsi="Times New Roman" w:eastAsia="仿宋_GB2312" w:cs="Times New Roman"/>
          <w:kern w:val="2"/>
          <w:sz w:val="32"/>
          <w:szCs w:val="32"/>
          <w:lang w:val="en-US" w:eastAsia="zh-CN" w:bidi="ar-SA"/>
        </w:rPr>
        <w:t>充分发挥各级党组织领导作用，聚焦“五个三”战略，为加快实现晋城高质量转型发展格局</w:t>
      </w:r>
      <w:r>
        <w:rPr>
          <w:rFonts w:hint="default" w:ascii="Times New Roman" w:hAnsi="Times New Roman" w:eastAsia="仿宋_GB2312" w:cs="Times New Roman"/>
          <w:kern w:val="2"/>
          <w:sz w:val="32"/>
          <w:szCs w:val="32"/>
          <w:lang w:val="en-US" w:eastAsia="zh-CN" w:bidi="ar-SA"/>
        </w:rPr>
        <w:t>提供</w:t>
      </w:r>
      <w:r>
        <w:rPr>
          <w:rFonts w:hint="eastAsia" w:ascii="Times New Roman" w:hAnsi="Times New Roman" w:eastAsia="仿宋_GB2312" w:cs="Times New Roman"/>
          <w:kern w:val="2"/>
          <w:sz w:val="32"/>
          <w:szCs w:val="32"/>
          <w:lang w:val="en-US" w:eastAsia="zh-CN" w:bidi="ar-SA"/>
        </w:rPr>
        <w:t>坚强</w:t>
      </w:r>
      <w:r>
        <w:rPr>
          <w:rFonts w:hint="default" w:ascii="Times New Roman" w:hAnsi="Times New Roman" w:eastAsia="仿宋_GB2312" w:cs="Times New Roman"/>
          <w:kern w:val="2"/>
          <w:sz w:val="32"/>
          <w:szCs w:val="32"/>
          <w:lang w:val="en-US" w:eastAsia="zh-CN" w:bidi="ar-SA"/>
        </w:rPr>
        <w:t>保证。</w:t>
      </w:r>
    </w:p>
    <w:p w14:paraId="1F251110">
      <w:pPr>
        <w:keepNext w:val="0"/>
        <w:keepLines w:val="0"/>
        <w:pageBreakBefore w:val="0"/>
        <w:widowControl w:val="0"/>
        <w:suppressLineNumbers w:val="0"/>
        <w:suppressAutoHyphens w:val="0"/>
        <w:kinsoku/>
        <w:wordWrap/>
        <w:overflowPunct w:val="0"/>
        <w:topLinePunct w:val="0"/>
        <w:autoSpaceDE/>
        <w:autoSpaceDN w:val="0"/>
        <w:bidi w:val="0"/>
        <w:adjustRightInd/>
        <w:snapToGrid/>
        <w:spacing w:before="0" w:beforeLines="0" w:beforeAutospacing="0" w:after="0" w:afterLines="0" w:afterAutospacing="0" w:line="58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坚持以人民为中心。</w:t>
      </w:r>
      <w:r>
        <w:rPr>
          <w:rFonts w:hint="eastAsia" w:ascii="Times New Roman" w:hAnsi="Times New Roman" w:eastAsia="仿宋_GB2312" w:cs="Times New Roman"/>
          <w:kern w:val="2"/>
          <w:sz w:val="32"/>
          <w:szCs w:val="32"/>
          <w:lang w:val="en-US" w:eastAsia="zh-CN" w:bidi="ar-SA"/>
        </w:rPr>
        <w:t>坚持人民主体地位，努力践行以人民为中心的发展思想，始终做到发展为了人民、发展依靠人民</w:t>
      </w:r>
      <w:r>
        <w:rPr>
          <w:rFonts w:hint="eastAsia" w:ascii="Times New Roman" w:hAnsi="Times New Roman" w:cs="Times New Roman"/>
          <w:kern w:val="2"/>
          <w:sz w:val="32"/>
          <w:szCs w:val="32"/>
          <w:lang w:val="en-US" w:eastAsia="zh-CN" w:bidi="ar-SA"/>
        </w:rPr>
        <w:t>，实现更高质量改革发展成果更多惠及人民，不断满足人民对高品质生活的向往</w:t>
      </w:r>
      <w:r>
        <w:rPr>
          <w:rFonts w:hint="eastAsia" w:ascii="Times New Roman" w:hAnsi="Times New Roman" w:eastAsia="仿宋_GB2312" w:cs="Times New Roman"/>
          <w:kern w:val="2"/>
          <w:sz w:val="32"/>
          <w:szCs w:val="32"/>
          <w:lang w:val="en-US" w:eastAsia="zh-CN" w:bidi="ar-SA"/>
        </w:rPr>
        <w:t>。</w:t>
      </w:r>
    </w:p>
    <w:p w14:paraId="7FDF3B81">
      <w:pPr>
        <w:keepNext w:val="0"/>
        <w:keepLines w:val="0"/>
        <w:pageBreakBefore w:val="0"/>
        <w:widowControl w:val="0"/>
        <w:kinsoku/>
        <w:wordWrap/>
        <w:topLinePunct w:val="0"/>
        <w:autoSpaceDE/>
        <w:autoSpaceDN w:val="0"/>
        <w:bidi w:val="0"/>
        <w:adjustRightInd/>
        <w:spacing w:beforeLines="0" w:afterLines="0" w:line="58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坚持</w:t>
      </w:r>
      <w:r>
        <w:rPr>
          <w:rFonts w:hint="eastAsia" w:ascii="Times New Roman" w:hAnsi="Times New Roman" w:eastAsia="仿宋_GB2312" w:cs="Times New Roman"/>
          <w:b/>
          <w:bCs/>
          <w:kern w:val="2"/>
          <w:sz w:val="32"/>
          <w:szCs w:val="32"/>
          <w:lang w:val="en-US" w:eastAsia="zh-CN" w:bidi="ar-SA"/>
        </w:rPr>
        <w:t>新发展理念</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sz w:val="32"/>
          <w:szCs w:val="32"/>
          <w:lang w:eastAsia="zh-CN"/>
        </w:rPr>
        <w:t>把新发展理念贯穿到人</w:t>
      </w:r>
      <w:r>
        <w:rPr>
          <w:rFonts w:hint="eastAsia" w:ascii="Times New Roman" w:hAnsi="Times New Roman" w:cs="Times New Roman"/>
          <w:sz w:val="32"/>
          <w:szCs w:val="32"/>
          <w:lang w:val="en-US" w:eastAsia="zh-CN"/>
        </w:rPr>
        <w:t>力资源和社会保障</w:t>
      </w:r>
      <w:r>
        <w:rPr>
          <w:rFonts w:hint="eastAsia" w:ascii="Times New Roman" w:hAnsi="Times New Roman" w:eastAsia="仿宋_GB2312" w:cs="Times New Roman"/>
          <w:sz w:val="32"/>
          <w:szCs w:val="32"/>
          <w:lang w:eastAsia="zh-CN"/>
        </w:rPr>
        <w:t>事业发展的全过程，</w:t>
      </w:r>
      <w:r>
        <w:rPr>
          <w:rFonts w:hint="default" w:ascii="Times New Roman" w:hAnsi="Times New Roman" w:eastAsia="仿宋_GB2312" w:cs="Times New Roman"/>
          <w:sz w:val="32"/>
          <w:szCs w:val="32"/>
          <w:lang w:eastAsia="zh-CN"/>
        </w:rPr>
        <w:t>深刻</w:t>
      </w:r>
      <w:r>
        <w:rPr>
          <w:rFonts w:hint="default" w:ascii="Times New Roman" w:hAnsi="Times New Roman" w:eastAsia="仿宋_GB2312" w:cs="Times New Roman"/>
          <w:sz w:val="32"/>
          <w:szCs w:val="32"/>
          <w:lang w:val="en-US" w:eastAsia="zh-CN"/>
        </w:rPr>
        <w:t>把握国内大循环为主体、国内国际双循环</w:t>
      </w:r>
      <w:r>
        <w:rPr>
          <w:rFonts w:hint="eastAsia" w:ascii="Times New Roman" w:hAnsi="Times New Roman" w:eastAsia="仿宋_GB2312" w:cs="Times New Roman"/>
          <w:sz w:val="32"/>
          <w:szCs w:val="32"/>
          <w:lang w:val="en-US" w:eastAsia="zh-CN"/>
        </w:rPr>
        <w:t>相互促进</w:t>
      </w:r>
      <w:r>
        <w:rPr>
          <w:rFonts w:hint="default" w:ascii="Times New Roman" w:hAnsi="Times New Roman" w:eastAsia="仿宋_GB2312" w:cs="Times New Roman"/>
          <w:sz w:val="32"/>
          <w:szCs w:val="32"/>
          <w:lang w:val="en-US" w:eastAsia="zh-CN"/>
        </w:rPr>
        <w:t>的新发展格局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实现</w:t>
      </w:r>
      <w:r>
        <w:rPr>
          <w:rFonts w:hint="eastAsia" w:ascii="Times New Roman" w:hAnsi="Times New Roman" w:cs="Times New Roman"/>
          <w:sz w:val="32"/>
          <w:szCs w:val="32"/>
          <w:lang w:val="en-US" w:eastAsia="zh-CN"/>
        </w:rPr>
        <w:t>提质增效发展</w:t>
      </w:r>
      <w:r>
        <w:rPr>
          <w:rFonts w:hint="default" w:ascii="Times New Roman" w:hAnsi="Times New Roman" w:eastAsia="仿宋_GB2312" w:cs="Times New Roman"/>
          <w:sz w:val="32"/>
          <w:szCs w:val="32"/>
          <w:lang w:eastAsia="zh-CN"/>
        </w:rPr>
        <w:t>。</w:t>
      </w:r>
    </w:p>
    <w:p w14:paraId="7C681241">
      <w:pPr>
        <w:keepNext w:val="0"/>
        <w:keepLines w:val="0"/>
        <w:pageBreakBefore w:val="0"/>
        <w:widowControl w:val="0"/>
        <w:kinsoku/>
        <w:wordWrap/>
        <w:topLinePunct w:val="0"/>
        <w:autoSpaceDE/>
        <w:bidi w:val="0"/>
        <w:adjustRightInd/>
        <w:spacing w:beforeLines="0" w:afterLines="0" w:line="580" w:lineRule="exact"/>
        <w:ind w:left="0" w:leftChars="0"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kern w:val="2"/>
          <w:sz w:val="32"/>
          <w:szCs w:val="32"/>
          <w:lang w:val="en-US" w:eastAsia="zh-CN" w:bidi="ar-SA"/>
        </w:rPr>
        <w:t>坚持深化改革。</w:t>
      </w:r>
      <w:r>
        <w:rPr>
          <w:rFonts w:hint="eastAsia" w:ascii="Times New Roman" w:hAnsi="Times New Roman" w:eastAsia="仿宋_GB2312" w:cs="Times New Roman"/>
          <w:sz w:val="32"/>
          <w:szCs w:val="32"/>
          <w:lang w:val="en-US" w:eastAsia="zh-CN"/>
        </w:rPr>
        <w:t>以全面深化改革牵引高质量发展</w:t>
      </w:r>
      <w:r>
        <w:rPr>
          <w:rFonts w:hint="eastAsia" w:ascii="Times New Roman" w:hAnsi="Times New Roman" w:cs="Times New Roman"/>
          <w:sz w:val="32"/>
          <w:szCs w:val="32"/>
          <w:lang w:val="en-US" w:eastAsia="zh-CN"/>
        </w:rPr>
        <w:t>为路径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深化人力资源</w:t>
      </w:r>
      <w:r>
        <w:rPr>
          <w:rFonts w:hint="eastAsia" w:ascii="Times New Roman" w:hAnsi="Times New Roman" w:cs="Times New Roman"/>
          <w:sz w:val="32"/>
          <w:szCs w:val="32"/>
          <w:lang w:val="en-US" w:eastAsia="zh-CN"/>
        </w:rPr>
        <w:t>和</w:t>
      </w:r>
      <w:r>
        <w:rPr>
          <w:rFonts w:hint="default" w:ascii="Times New Roman" w:hAnsi="Times New Roman" w:eastAsia="仿宋_GB2312" w:cs="Times New Roman"/>
          <w:sz w:val="32"/>
          <w:szCs w:val="32"/>
          <w:lang w:val="en-US" w:eastAsia="zh-CN"/>
        </w:rPr>
        <w:t>社会保障领域制度改革，</w:t>
      </w:r>
      <w:r>
        <w:rPr>
          <w:rFonts w:hint="eastAsia" w:ascii="仿宋_GB2312" w:hAnsi="仿宋_GB2312" w:eastAsia="仿宋_GB2312" w:cs="仿宋_GB2312"/>
          <w:b w:val="0"/>
          <w:bCs w:val="0"/>
          <w:sz w:val="32"/>
          <w:szCs w:val="32"/>
          <w:lang w:eastAsia="zh-CN"/>
        </w:rPr>
        <w:t>破除制约高质量发展、高品质生活的体制机制障碍，</w:t>
      </w:r>
      <w:r>
        <w:rPr>
          <w:rFonts w:hint="eastAsia" w:cs="仿宋_GB2312"/>
          <w:b w:val="0"/>
          <w:bCs w:val="0"/>
          <w:sz w:val="32"/>
          <w:szCs w:val="32"/>
          <w:lang w:val="en-US" w:eastAsia="zh-CN"/>
        </w:rPr>
        <w:t>提升</w:t>
      </w:r>
      <w:r>
        <w:rPr>
          <w:rFonts w:hint="default" w:ascii="Times New Roman" w:hAnsi="Times New Roman" w:eastAsia="仿宋_GB2312" w:cs="Times New Roman"/>
          <w:sz w:val="32"/>
          <w:szCs w:val="32"/>
          <w:lang w:eastAsia="zh-CN"/>
        </w:rPr>
        <w:t>人力资源</w:t>
      </w:r>
      <w:r>
        <w:rPr>
          <w:rFonts w:hint="eastAsia" w:ascii="Times New Roman" w:hAnsi="Times New Roman" w:cs="Times New Roman"/>
          <w:sz w:val="32"/>
          <w:szCs w:val="32"/>
          <w:lang w:val="en-US" w:eastAsia="zh-CN"/>
        </w:rPr>
        <w:t>和</w:t>
      </w:r>
      <w:r>
        <w:rPr>
          <w:rFonts w:hint="default" w:ascii="Times New Roman" w:hAnsi="Times New Roman" w:eastAsia="仿宋_GB2312" w:cs="Times New Roman"/>
          <w:sz w:val="32"/>
          <w:szCs w:val="32"/>
          <w:lang w:eastAsia="zh-CN"/>
        </w:rPr>
        <w:t>社会保障</w:t>
      </w:r>
      <w:r>
        <w:rPr>
          <w:rFonts w:hint="default" w:ascii="Times New Roman" w:hAnsi="Times New Roman" w:eastAsia="仿宋_GB2312" w:cs="Times New Roman"/>
          <w:sz w:val="32"/>
          <w:szCs w:val="32"/>
        </w:rPr>
        <w:t>制度</w:t>
      </w:r>
      <w:r>
        <w:rPr>
          <w:rFonts w:hint="eastAsia" w:ascii="Times New Roman" w:hAnsi="Times New Roman" w:cs="Times New Roman"/>
          <w:sz w:val="32"/>
          <w:szCs w:val="32"/>
          <w:lang w:val="en-US" w:eastAsia="zh-CN"/>
        </w:rPr>
        <w:t>效能</w:t>
      </w:r>
      <w:r>
        <w:rPr>
          <w:rFonts w:hint="default" w:ascii="Times New Roman" w:hAnsi="Times New Roman" w:eastAsia="仿宋_GB2312" w:cs="Times New Roman"/>
          <w:sz w:val="32"/>
          <w:szCs w:val="32"/>
        </w:rPr>
        <w:t>。</w:t>
      </w:r>
    </w:p>
    <w:p w14:paraId="5AD86908">
      <w:pPr>
        <w:keepNext w:val="0"/>
        <w:keepLines w:val="0"/>
        <w:pageBreakBefore w:val="0"/>
        <w:widowControl w:val="0"/>
        <w:kinsoku/>
        <w:wordWrap/>
        <w:topLinePunct w:val="0"/>
        <w:autoSpaceDE/>
        <w:bidi w:val="0"/>
        <w:adjustRightInd/>
        <w:spacing w:beforeLines="0" w:afterLines="0" w:line="580" w:lineRule="exact"/>
        <w:ind w:firstLine="64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kern w:val="2"/>
          <w:sz w:val="32"/>
          <w:szCs w:val="32"/>
          <w:lang w:val="en-US" w:eastAsia="zh-CN" w:bidi="ar-SA"/>
        </w:rPr>
        <w:t>坚持系统观念。</w:t>
      </w:r>
      <w:r>
        <w:rPr>
          <w:rFonts w:hint="eastAsia" w:ascii="Times New Roman" w:hAnsi="Times New Roman" w:eastAsia="仿宋_GB2312" w:cs="Times New Roman"/>
          <w:sz w:val="32"/>
          <w:szCs w:val="32"/>
          <w:lang w:eastAsia="zh-CN"/>
        </w:rPr>
        <w:t>加强前瞻性思考、全局性谋划、战略性布局、整体性推进，更好发挥系统积极性，着力固根基、扬优势、补短板、强弱项，注重防范化解重大风险挑战，实现发展质量、结构、规模、效益、安全相统一。</w:t>
      </w:r>
    </w:p>
    <w:p w14:paraId="3C460DA5">
      <w:pPr>
        <w:spacing w:beforeLines="0" w:afterLines="0"/>
        <w:ind w:firstLine="640"/>
        <w:rPr>
          <w:rFonts w:hint="eastAsia"/>
        </w:rPr>
      </w:pPr>
      <w:r>
        <w:rPr>
          <w:rFonts w:hint="default" w:ascii="Times New Roman" w:hAnsi="Times New Roman" w:eastAsia="仿宋_GB2312" w:cs="Times New Roman"/>
          <w:b/>
          <w:bCs/>
          <w:kern w:val="2"/>
          <w:sz w:val="32"/>
          <w:szCs w:val="32"/>
          <w:lang w:val="en-US" w:eastAsia="zh-CN" w:bidi="ar-SA"/>
        </w:rPr>
        <w:t>坚持依法行政。</w:t>
      </w:r>
      <w:r>
        <w:rPr>
          <w:rFonts w:hint="default" w:ascii="Times New Roman" w:hAnsi="Times New Roman" w:eastAsia="仿宋_GB2312" w:cs="Times New Roman"/>
          <w:b w:val="0"/>
          <w:bCs w:val="0"/>
          <w:sz w:val="32"/>
          <w:szCs w:val="32"/>
          <w:lang w:eastAsia="zh-CN"/>
        </w:rPr>
        <w:t>贯彻落实全面依法治国基本方略，深入推进依法行政，推动人力资源和社会保障工作全面纳入法制轨道。</w:t>
      </w:r>
      <w:r>
        <w:rPr>
          <w:rFonts w:hint="default" w:ascii="Times New Roman" w:hAnsi="Times New Roman" w:eastAsia="仿宋_GB2312" w:cs="Times New Roman"/>
          <w:sz w:val="32"/>
          <w:szCs w:val="32"/>
        </w:rPr>
        <w:t>合理调节各方面利益关系，促进社会公正和谐。</w:t>
      </w:r>
    </w:p>
    <w:p w14:paraId="5AEE86AB">
      <w:pPr>
        <w:pStyle w:val="7"/>
        <w:numPr>
          <w:ilvl w:val="0"/>
          <w:numId w:val="3"/>
        </w:numPr>
        <w:bidi w:val="0"/>
        <w:ind w:left="0" w:leftChars="0" w:firstLine="0" w:firstLineChars="0"/>
        <w:jc w:val="center"/>
        <w:rPr>
          <w:rFonts w:hint="eastAsia"/>
        </w:rPr>
      </w:pPr>
      <w:bookmarkStart w:id="12" w:name="_Toc5190"/>
      <w:r>
        <w:rPr>
          <w:rFonts w:hint="eastAsia" w:ascii="宋体" w:hAnsi="宋体" w:eastAsia="宋体" w:cs="宋体"/>
        </w:rPr>
        <w:t>发展目标</w:t>
      </w:r>
      <w:bookmarkEnd w:id="12"/>
    </w:p>
    <w:p w14:paraId="7D992EE4">
      <w:pPr>
        <w:spacing w:line="600" w:lineRule="exact"/>
        <w:ind w:firstLine="0" w:firstLineChars="0"/>
        <w:rPr>
          <w:rFonts w:hint="default" w:ascii="Times New Roman" w:hAnsi="Times New Roman" w:eastAsia="仿宋_GB2312" w:cs="Times New Roman"/>
          <w:kern w:val="0"/>
          <w:sz w:val="32"/>
          <w:szCs w:val="32"/>
          <w:lang w:val="en-US" w:eastAsia="zh-CN" w:bidi="ar-SA"/>
        </w:rPr>
      </w:pPr>
      <w:r>
        <w:rPr>
          <w:rFonts w:hint="eastAsia"/>
        </w:rPr>
        <w:t xml:space="preserve"> </w:t>
      </w:r>
      <w:r>
        <w:rPr>
          <w:rFonts w:hint="eastAsia"/>
          <w:lang w:val="en-US" w:eastAsia="zh-CN"/>
        </w:rPr>
        <w:t xml:space="preserve">   </w:t>
      </w:r>
      <w:r>
        <w:rPr>
          <w:rFonts w:hint="eastAsia"/>
        </w:rPr>
        <w:t>锚定二〇三五年远景目标，聚力实现转型出雏</w:t>
      </w:r>
      <w:r>
        <w:rPr>
          <w:rFonts w:hint="eastAsia"/>
          <w:lang w:val="en-US" w:eastAsia="zh-CN"/>
        </w:rPr>
        <w:t>型</w:t>
      </w:r>
      <w:r>
        <w:rPr>
          <w:rFonts w:hint="eastAsia"/>
        </w:rPr>
        <w:t>的阶段性战略目标，综合考虑省内外发展趋势和我市发展条件，</w:t>
      </w:r>
      <w:r>
        <w:rPr>
          <w:rFonts w:hint="default" w:ascii="Times New Roman" w:hAnsi="Times New Roman" w:eastAsia="仿宋_GB2312" w:cs="Times New Roman"/>
          <w:color w:val="auto"/>
          <w:kern w:val="0"/>
          <w:sz w:val="32"/>
          <w:szCs w:val="32"/>
          <w:lang w:val="en-US" w:eastAsia="zh-CN" w:bidi="ar-SA"/>
        </w:rPr>
        <w:t>推进实现</w:t>
      </w:r>
      <w:r>
        <w:rPr>
          <w:rFonts w:hint="eastAsia" w:ascii="Times New Roman" w:hAnsi="Times New Roman"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劳有乐业、才有优用，技有专长，老有颐养</w:t>
      </w:r>
      <w:r>
        <w:rPr>
          <w:rFonts w:hint="eastAsia" w:ascii="Times New Roman" w:hAnsi="Times New Roman"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cs="Times New Roman"/>
          <w:color w:val="auto"/>
          <w:kern w:val="0"/>
          <w:sz w:val="32"/>
          <w:szCs w:val="32"/>
          <w:lang w:val="en-US" w:eastAsia="zh-CN" w:bidi="ar-SA"/>
        </w:rPr>
        <w:t>推动全市</w:t>
      </w:r>
      <w:r>
        <w:rPr>
          <w:rFonts w:hint="default" w:ascii="Times New Roman" w:hAnsi="Times New Roman" w:eastAsia="仿宋_GB2312" w:cs="Times New Roman"/>
          <w:color w:val="auto"/>
          <w:kern w:val="0"/>
          <w:sz w:val="32"/>
          <w:szCs w:val="32"/>
          <w:lang w:val="en-US" w:eastAsia="zh-CN" w:bidi="ar-SA"/>
        </w:rPr>
        <w:t>人力资源和社会保障事业迈向</w:t>
      </w:r>
      <w:r>
        <w:rPr>
          <w:rFonts w:hint="eastAsia" w:ascii="Times New Roman" w:hAnsi="Times New Roman" w:cs="Times New Roman"/>
          <w:color w:val="auto"/>
          <w:kern w:val="0"/>
          <w:sz w:val="32"/>
          <w:szCs w:val="32"/>
          <w:lang w:val="en-US" w:eastAsia="zh-CN" w:bidi="ar-SA"/>
        </w:rPr>
        <w:t>新的</w:t>
      </w:r>
      <w:r>
        <w:rPr>
          <w:rFonts w:hint="default" w:ascii="Times New Roman" w:hAnsi="Times New Roman" w:eastAsia="仿宋_GB2312" w:cs="Times New Roman"/>
          <w:color w:val="auto"/>
          <w:kern w:val="0"/>
          <w:sz w:val="32"/>
          <w:szCs w:val="32"/>
          <w:lang w:val="en-US" w:eastAsia="zh-CN" w:bidi="ar-SA"/>
        </w:rPr>
        <w:t>台阶。</w:t>
      </w:r>
    </w:p>
    <w:p w14:paraId="1A372870">
      <w:pPr>
        <w:keepNext w:val="0"/>
        <w:keepLines w:val="0"/>
        <w:pageBreakBefore w:val="0"/>
        <w:widowControl w:val="0"/>
        <w:kinsoku/>
        <w:wordWrap/>
        <w:overflowPunct w:val="0"/>
        <w:topLinePunct w:val="0"/>
        <w:autoSpaceDE/>
        <w:autoSpaceDN/>
        <w:bidi w:val="0"/>
        <w:adjustRightInd w:val="0"/>
        <w:snapToGrid w:val="0"/>
        <w:spacing w:beforeLines="0" w:beforeAutospacing="0" w:afterLines="0" w:afterAutospacing="0" w:line="580" w:lineRule="exact"/>
        <w:ind w:firstLine="641"/>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kern w:val="2"/>
          <w:sz w:val="32"/>
          <w:szCs w:val="32"/>
          <w:lang w:val="en-US" w:eastAsia="zh-CN" w:bidi="ar-SA"/>
        </w:rPr>
        <w:t>实现更加充分更高质量就业。</w:t>
      </w:r>
      <w:r>
        <w:rPr>
          <w:rFonts w:hint="default" w:ascii="Times New Roman" w:hAnsi="Times New Roman" w:eastAsia="仿宋_GB2312" w:cs="Times New Roman"/>
          <w:bCs/>
          <w:sz w:val="32"/>
          <w:szCs w:val="32"/>
          <w:lang w:eastAsia="zh-CN"/>
        </w:rPr>
        <w:t>就业容量不断扩大，就业质量不断提高，就业创业环境不断优化，劳动者技能素质不断提升，重点群体就业基本稳定。</w:t>
      </w:r>
      <w:r>
        <w:rPr>
          <w:rFonts w:hint="eastAsia" w:ascii="Times New Roman" w:hAnsi="Times New Roman" w:cs="Times New Roman"/>
          <w:bCs/>
          <w:sz w:val="32"/>
          <w:szCs w:val="32"/>
          <w:lang w:eastAsia="zh-CN"/>
        </w:rPr>
        <w:t>“</w:t>
      </w:r>
      <w:r>
        <w:rPr>
          <w:rFonts w:hint="default" w:ascii="Times New Roman" w:hAnsi="Times New Roman" w:eastAsia="仿宋_GB2312" w:cs="Times New Roman"/>
          <w:bCs/>
          <w:sz w:val="32"/>
          <w:szCs w:val="32"/>
        </w:rPr>
        <w:t>十四五</w:t>
      </w:r>
      <w:r>
        <w:rPr>
          <w:rFonts w:hint="eastAsia" w:ascii="Times New Roman" w:hAnsi="Times New Roman" w:cs="Times New Roman"/>
          <w:bCs/>
          <w:sz w:val="32"/>
          <w:szCs w:val="32"/>
          <w:lang w:eastAsia="zh-CN"/>
        </w:rPr>
        <w:t>”</w:t>
      </w:r>
      <w:r>
        <w:rPr>
          <w:rFonts w:hint="default" w:ascii="Times New Roman" w:hAnsi="Times New Roman" w:eastAsia="仿宋_GB2312" w:cs="Times New Roman"/>
          <w:bCs/>
          <w:sz w:val="32"/>
          <w:szCs w:val="32"/>
        </w:rPr>
        <w:t>时期</w:t>
      </w:r>
      <w:r>
        <w:rPr>
          <w:rFonts w:hint="eastAsia" w:ascii="Times New Roman" w:hAnsi="Times New Roman" w:cs="Times New Roman"/>
          <w:bCs/>
          <w:sz w:val="32"/>
          <w:szCs w:val="32"/>
          <w:lang w:eastAsia="zh-CN"/>
        </w:rPr>
        <w:t>，</w:t>
      </w:r>
      <w:r>
        <w:rPr>
          <w:rFonts w:hint="default" w:ascii="Times New Roman" w:hAnsi="Times New Roman" w:eastAsia="仿宋_GB2312" w:cs="Times New Roman"/>
          <w:bCs/>
          <w:sz w:val="32"/>
          <w:szCs w:val="32"/>
        </w:rPr>
        <w:t>城镇新增就业</w:t>
      </w:r>
      <w:r>
        <w:rPr>
          <w:rFonts w:hint="eastAsia" w:ascii="Times New Roman" w:hAnsi="Times New Roman" w:cs="Times New Roman"/>
          <w:bCs/>
          <w:sz w:val="32"/>
          <w:szCs w:val="32"/>
          <w:lang w:val="en-US" w:eastAsia="zh-CN"/>
        </w:rPr>
        <w:t>15</w:t>
      </w:r>
      <w:r>
        <w:rPr>
          <w:rFonts w:hint="default" w:ascii="Times New Roman" w:hAnsi="Times New Roman" w:eastAsia="仿宋_GB2312" w:cs="Times New Roman"/>
          <w:bCs/>
          <w:sz w:val="32"/>
          <w:szCs w:val="32"/>
        </w:rPr>
        <w:t>万人以上，城镇</w:t>
      </w:r>
      <w:r>
        <w:rPr>
          <w:rFonts w:hint="eastAsia" w:ascii="Times New Roman" w:hAnsi="Times New Roman" w:cs="Times New Roman"/>
          <w:bCs/>
          <w:sz w:val="32"/>
          <w:szCs w:val="32"/>
          <w:lang w:val="en-US" w:eastAsia="zh-CN"/>
        </w:rPr>
        <w:t>调查</w:t>
      </w:r>
      <w:r>
        <w:rPr>
          <w:rFonts w:hint="default" w:ascii="Times New Roman" w:hAnsi="Times New Roman" w:eastAsia="仿宋_GB2312" w:cs="Times New Roman"/>
          <w:bCs/>
          <w:sz w:val="32"/>
          <w:szCs w:val="32"/>
        </w:rPr>
        <w:t>失业率控制在</w:t>
      </w:r>
      <w:r>
        <w:rPr>
          <w:rFonts w:hint="eastAsia" w:ascii="Times New Roman" w:hAnsi="Times New Roman" w:cs="Times New Roman"/>
          <w:bCs/>
          <w:sz w:val="32"/>
          <w:szCs w:val="32"/>
          <w:lang w:val="en-US" w:eastAsia="zh-CN"/>
        </w:rPr>
        <w:t>4.5%以内，农村转移劳动力达到10万人</w:t>
      </w:r>
      <w:r>
        <w:rPr>
          <w:rFonts w:hint="default" w:ascii="Times New Roman" w:hAnsi="Times New Roman" w:eastAsia="仿宋_GB2312" w:cs="Times New Roman"/>
          <w:bCs/>
          <w:sz w:val="32"/>
          <w:szCs w:val="32"/>
        </w:rPr>
        <w:t>。</w:t>
      </w:r>
    </w:p>
    <w:p w14:paraId="50CA86A7">
      <w:pPr>
        <w:ind w:firstLine="643"/>
      </w:pPr>
      <w:r>
        <w:rPr>
          <w:rFonts w:hint="default" w:ascii="Times New Roman" w:hAnsi="Times New Roman" w:eastAsia="仿宋_GB2312" w:cs="Times New Roman"/>
          <w:b/>
          <w:bCs/>
          <w:kern w:val="2"/>
          <w:sz w:val="32"/>
          <w:szCs w:val="32"/>
          <w:lang w:val="en-US" w:eastAsia="zh-CN" w:bidi="ar-SA"/>
        </w:rPr>
        <w:t>多层次社会保障体系</w:t>
      </w:r>
      <w:r>
        <w:rPr>
          <w:rFonts w:hint="eastAsia" w:ascii="Times New Roman" w:hAnsi="Times New Roman" w:eastAsia="仿宋_GB2312" w:cs="Times New Roman"/>
          <w:b/>
          <w:bCs/>
          <w:kern w:val="2"/>
          <w:sz w:val="32"/>
          <w:szCs w:val="32"/>
          <w:lang w:val="en-US" w:eastAsia="zh-CN" w:bidi="ar-SA"/>
        </w:rPr>
        <w:t>更加健全</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cs="Times New Roman"/>
          <w:sz w:val="32"/>
          <w:szCs w:val="32"/>
          <w:lang w:val="en-US" w:eastAsia="zh-CN"/>
        </w:rPr>
        <w:t>推动社会保障工作</w:t>
      </w:r>
      <w:r>
        <w:rPr>
          <w:rFonts w:hint="default" w:ascii="Times New Roman" w:hAnsi="Times New Roman" w:cs="Times New Roman"/>
          <w:sz w:val="32"/>
          <w:szCs w:val="32"/>
          <w:lang w:val="en-US" w:eastAsia="zh-CN"/>
        </w:rPr>
        <w:t>实现</w:t>
      </w:r>
      <w:r>
        <w:rPr>
          <w:rFonts w:hint="eastAsia" w:ascii="Times New Roman" w:hAnsi="Times New Roman" w:cs="Times New Roman"/>
          <w:sz w:val="32"/>
          <w:szCs w:val="32"/>
          <w:lang w:val="en-US" w:eastAsia="zh-CN"/>
        </w:rPr>
        <w:t>主导管理向优化服务转变。各类保险全省、全国统筹。</w:t>
      </w:r>
      <w:r>
        <w:rPr>
          <w:rFonts w:hint="default" w:ascii="Times New Roman" w:hAnsi="Times New Roman" w:eastAsia="仿宋_GB2312" w:cs="Times New Roman"/>
          <w:sz w:val="32"/>
          <w:szCs w:val="32"/>
        </w:rPr>
        <w:t>社会保障待遇水平稳步提高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基金</w:t>
      </w:r>
      <w:r>
        <w:rPr>
          <w:rFonts w:hint="default" w:ascii="Times New Roman" w:hAnsi="Times New Roman" w:eastAsia="仿宋_GB2312" w:cs="Times New Roman"/>
          <w:sz w:val="32"/>
          <w:szCs w:val="32"/>
          <w:lang w:eastAsia="zh-CN"/>
        </w:rPr>
        <w:t>安全</w:t>
      </w:r>
      <w:r>
        <w:rPr>
          <w:rFonts w:hint="eastAsia" w:ascii="Times New Roman" w:hAnsi="Times New Roman" w:eastAsia="仿宋_GB2312" w:cs="Times New Roman"/>
          <w:sz w:val="32"/>
          <w:szCs w:val="32"/>
          <w:lang w:eastAsia="zh-CN"/>
        </w:rPr>
        <w:t>平稳运行</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到“十四五”末，</w:t>
      </w:r>
      <w:r>
        <w:rPr>
          <w:rFonts w:hint="eastAsia"/>
        </w:rPr>
        <w:t>基本养老保险参保率达到9</w:t>
      </w:r>
      <w:r>
        <w:t>5</w:t>
      </w:r>
      <w:r>
        <w:rPr>
          <w:rFonts w:hint="eastAsia"/>
        </w:rPr>
        <w:t>%，工伤保险参保人数</w:t>
      </w:r>
      <w:r>
        <w:rPr>
          <w:rFonts w:hint="eastAsia"/>
          <w:highlight w:val="cyan"/>
        </w:rPr>
        <w:t>达到</w:t>
      </w:r>
      <w:r>
        <w:rPr>
          <w:rFonts w:hint="eastAsia"/>
          <w:highlight w:val="cyan"/>
          <w:lang w:val="en-US" w:eastAsia="zh-CN"/>
        </w:rPr>
        <w:t xml:space="preserve"> </w:t>
      </w:r>
      <w:r>
        <w:rPr>
          <w:rFonts w:hint="eastAsia"/>
          <w:highlight w:val="cyan"/>
        </w:rPr>
        <w:t>万人</w:t>
      </w:r>
      <w:r>
        <w:rPr>
          <w:rFonts w:hint="eastAsia"/>
        </w:rPr>
        <w:t>，失业保险参保人数达</w:t>
      </w:r>
      <w:r>
        <w:rPr>
          <w:rFonts w:hint="eastAsia"/>
          <w:highlight w:val="cyan"/>
        </w:rPr>
        <w:t>到</w:t>
      </w:r>
      <w:r>
        <w:rPr>
          <w:rFonts w:hint="eastAsia"/>
          <w:highlight w:val="cyan"/>
          <w:lang w:val="en-US" w:eastAsia="zh-CN"/>
        </w:rPr>
        <w:t xml:space="preserve"> </w:t>
      </w:r>
      <w:r>
        <w:rPr>
          <w:rFonts w:hint="eastAsia"/>
          <w:highlight w:val="cyan"/>
        </w:rPr>
        <w:t>万</w:t>
      </w:r>
      <w:r>
        <w:rPr>
          <w:rFonts w:hint="eastAsia"/>
        </w:rPr>
        <w:t>人。</w:t>
      </w:r>
    </w:p>
    <w:p w14:paraId="784AD996">
      <w:pPr>
        <w:ind w:firstLine="643"/>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kern w:val="2"/>
          <w:sz w:val="32"/>
          <w:szCs w:val="32"/>
          <w:lang w:val="en-US" w:eastAsia="zh-CN" w:bidi="ar-SA"/>
        </w:rPr>
        <w:t>人才队伍素质不断提升。</w:t>
      </w:r>
      <w:r>
        <w:rPr>
          <w:rFonts w:hint="default" w:ascii="Times New Roman" w:hAnsi="Times New Roman" w:eastAsia="仿宋_GB2312" w:cs="Times New Roman"/>
          <w:sz w:val="32"/>
          <w:lang w:eastAsia="zh-CN"/>
        </w:rPr>
        <w:t>人才发展体制机制</w:t>
      </w:r>
      <w:r>
        <w:rPr>
          <w:rFonts w:hint="eastAsia" w:ascii="Times New Roman" w:hAnsi="Times New Roman" w:eastAsia="仿宋_GB2312" w:cs="Times New Roman"/>
          <w:sz w:val="32"/>
          <w:lang w:eastAsia="zh-CN"/>
        </w:rPr>
        <w:t>改革深入推进</w:t>
      </w:r>
      <w:r>
        <w:rPr>
          <w:rFonts w:hint="default" w:ascii="Times New Roman" w:hAnsi="Times New Roman" w:eastAsia="仿宋_GB2312" w:cs="Times New Roman"/>
          <w:sz w:val="32"/>
          <w:lang w:eastAsia="zh-CN"/>
        </w:rPr>
        <w:t>，人才</w:t>
      </w:r>
      <w:r>
        <w:rPr>
          <w:rFonts w:hint="eastAsia" w:ascii="Times New Roman" w:hAnsi="Times New Roman" w:eastAsia="仿宋_GB2312" w:cs="Times New Roman"/>
          <w:sz w:val="32"/>
          <w:lang w:eastAsia="zh-CN"/>
        </w:rPr>
        <w:t>队伍</w:t>
      </w:r>
      <w:r>
        <w:rPr>
          <w:rFonts w:hint="default" w:ascii="Times New Roman" w:hAnsi="Times New Roman" w:eastAsia="仿宋_GB2312" w:cs="Times New Roman"/>
          <w:sz w:val="32"/>
          <w:lang w:eastAsia="zh-CN"/>
        </w:rPr>
        <w:t>规模不断扩大，</w:t>
      </w:r>
      <w:r>
        <w:rPr>
          <w:rFonts w:hint="eastAsia" w:ascii="Times New Roman" w:hAnsi="Times New Roman" w:eastAsia="仿宋_GB2312" w:cs="Times New Roman"/>
          <w:sz w:val="32"/>
          <w:lang w:eastAsia="zh-CN"/>
        </w:rPr>
        <w:t>人才</w:t>
      </w:r>
      <w:r>
        <w:rPr>
          <w:rFonts w:hint="default" w:ascii="Times New Roman" w:hAnsi="Times New Roman" w:eastAsia="仿宋_GB2312" w:cs="Times New Roman"/>
          <w:sz w:val="32"/>
          <w:lang w:eastAsia="zh-CN"/>
        </w:rPr>
        <w:t>队伍结构</w:t>
      </w:r>
      <w:r>
        <w:rPr>
          <w:rFonts w:hint="eastAsia" w:ascii="Times New Roman" w:hAnsi="Times New Roman" w:eastAsia="仿宋_GB2312" w:cs="Times New Roman"/>
          <w:sz w:val="32"/>
          <w:lang w:eastAsia="zh-CN"/>
        </w:rPr>
        <w:t>更加</w:t>
      </w:r>
      <w:r>
        <w:rPr>
          <w:rFonts w:hint="default" w:ascii="Times New Roman" w:hAnsi="Times New Roman" w:eastAsia="仿宋_GB2312" w:cs="Times New Roman"/>
          <w:sz w:val="32"/>
          <w:lang w:eastAsia="zh-CN"/>
        </w:rPr>
        <w:t>合理，</w:t>
      </w:r>
      <w:r>
        <w:rPr>
          <w:rFonts w:hint="eastAsia" w:ascii="Times New Roman" w:hAnsi="Times New Roman" w:eastAsia="仿宋_GB2312" w:cs="Times New Roman"/>
          <w:sz w:val="32"/>
          <w:lang w:eastAsia="zh-CN"/>
        </w:rPr>
        <w:t>人才</w:t>
      </w:r>
      <w:r>
        <w:rPr>
          <w:rFonts w:hint="default" w:ascii="Times New Roman" w:hAnsi="Times New Roman" w:eastAsia="仿宋_GB2312" w:cs="Times New Roman"/>
          <w:sz w:val="32"/>
          <w:lang w:eastAsia="zh-CN"/>
        </w:rPr>
        <w:t>创新活力进一步迸发。</w:t>
      </w:r>
      <w:r>
        <w:rPr>
          <w:rFonts w:hint="eastAsia"/>
        </w:rPr>
        <w:t>到“十四五”末，专业</w:t>
      </w:r>
      <w:r>
        <w:rPr>
          <w:rFonts w:hint="eastAsia"/>
          <w:lang w:val="en-US" w:eastAsia="zh-CN"/>
        </w:rPr>
        <w:t>技术</w:t>
      </w:r>
      <w:r>
        <w:rPr>
          <w:rFonts w:hint="eastAsia"/>
        </w:rPr>
        <w:t>人才总量达</w:t>
      </w:r>
      <w:r>
        <w:rPr>
          <w:rFonts w:hint="eastAsia"/>
          <w:highlight w:val="cyan"/>
        </w:rPr>
        <w:t>到</w:t>
      </w:r>
      <w:r>
        <w:rPr>
          <w:rFonts w:hint="eastAsia"/>
          <w:highlight w:val="cyan"/>
          <w:lang w:val="en-US" w:eastAsia="zh-CN"/>
        </w:rPr>
        <w:t>6.8</w:t>
      </w:r>
      <w:r>
        <w:rPr>
          <w:rFonts w:hint="eastAsia"/>
          <w:highlight w:val="cyan"/>
        </w:rPr>
        <w:t>万</w:t>
      </w:r>
      <w:r>
        <w:rPr>
          <w:rFonts w:hint="eastAsia"/>
        </w:rPr>
        <w:t>人，高、中、初级专业技术人才比例达</w:t>
      </w:r>
      <w:r>
        <w:rPr>
          <w:rFonts w:hint="eastAsia"/>
          <w:highlight w:val="cyan"/>
        </w:rPr>
        <w:t>到</w:t>
      </w:r>
      <w:r>
        <w:rPr>
          <w:rFonts w:hint="eastAsia"/>
          <w:highlight w:val="cyan"/>
          <w:lang w:val="en-US" w:eastAsia="zh-CN"/>
        </w:rPr>
        <w:t xml:space="preserve">1:4:5 </w:t>
      </w:r>
      <w:r>
        <w:rPr>
          <w:rFonts w:hint="eastAsia"/>
        </w:rPr>
        <w:t>；技能人才总量达到</w:t>
      </w:r>
      <w:r>
        <w:rPr>
          <w:rFonts w:hint="eastAsia"/>
          <w:lang w:val="en-US" w:eastAsia="zh-CN"/>
        </w:rPr>
        <w:t>40</w:t>
      </w:r>
      <w:r>
        <w:rPr>
          <w:rFonts w:hint="eastAsia"/>
        </w:rPr>
        <w:t>万人，</w:t>
      </w:r>
      <w:r>
        <w:rPr>
          <w:rFonts w:hint="eastAsia"/>
          <w:lang w:val="en-US" w:eastAsia="zh-CN"/>
        </w:rPr>
        <w:t>实现技能人才占从业人员的30%以上，</w:t>
      </w:r>
      <w:r>
        <w:rPr>
          <w:rFonts w:hint="eastAsia"/>
        </w:rPr>
        <w:t>其中高技能人才总量达到</w:t>
      </w:r>
      <w:r>
        <w:rPr>
          <w:rFonts w:hint="eastAsia"/>
          <w:lang w:val="en-US" w:eastAsia="zh-CN"/>
        </w:rPr>
        <w:t>12</w:t>
      </w:r>
      <w:r>
        <w:rPr>
          <w:rFonts w:hint="eastAsia"/>
        </w:rPr>
        <w:t>万人</w:t>
      </w:r>
      <w:r>
        <w:rPr>
          <w:rFonts w:hint="eastAsia"/>
          <w:lang w:eastAsia="zh-CN"/>
        </w:rPr>
        <w:t>，</w:t>
      </w:r>
      <w:r>
        <w:rPr>
          <w:rFonts w:hint="eastAsia"/>
          <w:lang w:val="en-US" w:eastAsia="zh-CN"/>
        </w:rPr>
        <w:t>中高能级人才占技能人才比重达到85%以上</w:t>
      </w:r>
      <w:r>
        <w:rPr>
          <w:rFonts w:hint="eastAsia"/>
        </w:rPr>
        <w:t>。</w:t>
      </w:r>
    </w:p>
    <w:p w14:paraId="1D8E4344">
      <w:pPr>
        <w:keepNext w:val="0"/>
        <w:keepLines w:val="0"/>
        <w:pageBreakBefore w:val="0"/>
        <w:widowControl w:val="0"/>
        <w:kinsoku/>
        <w:wordWrap/>
        <w:overflowPunct/>
        <w:topLinePunct w:val="0"/>
        <w:autoSpaceDE/>
        <w:autoSpaceDN/>
        <w:bidi w:val="0"/>
        <w:adjustRightInd/>
        <w:spacing w:beforeLines="0" w:beforeAutospacing="0" w:afterLines="0" w:afterAutospacing="0" w:line="580" w:lineRule="exact"/>
        <w:ind w:right="0" w:firstLine="643"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b/>
          <w:bCs/>
          <w:kern w:val="2"/>
          <w:sz w:val="32"/>
          <w:szCs w:val="32"/>
          <w:lang w:val="en-US" w:eastAsia="zh-CN" w:bidi="ar-SA"/>
        </w:rPr>
        <w:t>劳动关系更加和谐</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劳动关系协调机制</w:t>
      </w:r>
      <w:r>
        <w:rPr>
          <w:rFonts w:hint="eastAsia" w:ascii="Times New Roman" w:hAnsi="Times New Roman" w:cs="Times New Roman"/>
          <w:b w:val="0"/>
          <w:bCs w:val="0"/>
          <w:kern w:val="2"/>
          <w:sz w:val="32"/>
          <w:szCs w:val="32"/>
          <w:lang w:val="en-US" w:eastAsia="zh-CN" w:bidi="ar-SA"/>
        </w:rPr>
        <w:t>逐步</w:t>
      </w:r>
      <w:r>
        <w:rPr>
          <w:rFonts w:hint="default" w:ascii="Times New Roman" w:hAnsi="Times New Roman" w:eastAsia="仿宋_GB2312" w:cs="Times New Roman"/>
          <w:b w:val="0"/>
          <w:bCs w:val="0"/>
          <w:kern w:val="2"/>
          <w:sz w:val="32"/>
          <w:szCs w:val="32"/>
          <w:lang w:val="en-US" w:eastAsia="zh-CN" w:bidi="ar-SA"/>
        </w:rPr>
        <w:t>完善</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劳动关系治理能力明显提高。</w:t>
      </w:r>
      <w:r>
        <w:rPr>
          <w:rFonts w:hint="eastAsia" w:ascii="Times New Roman" w:hAnsi="Times New Roman" w:eastAsia="仿宋_GB2312" w:cs="Times New Roman"/>
          <w:b w:val="0"/>
          <w:bCs w:val="0"/>
          <w:kern w:val="2"/>
          <w:sz w:val="32"/>
          <w:szCs w:val="32"/>
          <w:lang w:val="en-US" w:eastAsia="zh-CN" w:bidi="ar-SA"/>
        </w:rPr>
        <w:t>劳动人事争议调解仲裁体制机制</w:t>
      </w:r>
      <w:r>
        <w:rPr>
          <w:rFonts w:hint="eastAsia" w:ascii="Times New Roman" w:hAnsi="Times New Roman" w:cs="Times New Roman"/>
          <w:b w:val="0"/>
          <w:bCs w:val="0"/>
          <w:kern w:val="2"/>
          <w:sz w:val="32"/>
          <w:szCs w:val="32"/>
          <w:lang w:val="en-US" w:eastAsia="zh-CN" w:bidi="ar-SA"/>
        </w:rPr>
        <w:t>持续优化</w:t>
      </w:r>
      <w:r>
        <w:rPr>
          <w:rFonts w:hint="eastAsia" w:ascii="Times New Roman" w:hAnsi="Times New Roman" w:eastAsia="仿宋_GB2312" w:cs="Times New Roman"/>
          <w:b w:val="0"/>
          <w:bCs w:val="0"/>
          <w:kern w:val="2"/>
          <w:sz w:val="32"/>
          <w:szCs w:val="32"/>
          <w:lang w:val="en-US" w:eastAsia="zh-CN" w:bidi="ar-SA"/>
        </w:rPr>
        <w:t>，劳动保障监察执法效能有效提升</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工资收入分配制度更加健全。</w:t>
      </w:r>
    </w:p>
    <w:p w14:paraId="38892B9F">
      <w:pPr>
        <w:pStyle w:val="3"/>
        <w:keepNext w:val="0"/>
        <w:keepLines w:val="0"/>
        <w:pageBreakBefore w:val="0"/>
        <w:widowControl w:val="0"/>
        <w:kinsoku/>
        <w:wordWrap/>
        <w:topLinePunct w:val="0"/>
        <w:autoSpaceDE/>
        <w:autoSpaceDN/>
        <w:bidi w:val="0"/>
        <w:spacing w:beforeLines="0" w:after="0" w:afterLines="0" w:line="58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kern w:val="2"/>
          <w:sz w:val="32"/>
          <w:szCs w:val="32"/>
          <w:lang w:val="en-US" w:eastAsia="zh-CN" w:bidi="ar-SA"/>
        </w:rPr>
        <w:t>公共服务体系更加完善。</w:t>
      </w:r>
      <w:r>
        <w:rPr>
          <w:rFonts w:hint="default" w:ascii="Times New Roman" w:hAnsi="Times New Roman" w:eastAsia="仿宋_GB2312" w:cs="Times New Roman"/>
          <w:color w:val="auto"/>
          <w:sz w:val="32"/>
          <w:szCs w:val="32"/>
          <w:lang w:eastAsia="zh-CN"/>
        </w:rPr>
        <w:t>公共服务制度体系</w:t>
      </w:r>
      <w:r>
        <w:rPr>
          <w:rFonts w:hint="eastAsia" w:ascii="Times New Roman" w:hAnsi="Times New Roman" w:cs="Times New Roman"/>
          <w:color w:val="auto"/>
          <w:sz w:val="32"/>
          <w:szCs w:val="32"/>
          <w:lang w:val="en-US" w:eastAsia="zh-CN"/>
        </w:rPr>
        <w:t>健全优化</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基层公共服务条件大幅改善，</w:t>
      </w:r>
      <w:r>
        <w:rPr>
          <w:rFonts w:hint="default" w:ascii="Times New Roman" w:hAnsi="Times New Roman" w:eastAsia="仿宋_GB2312" w:cs="Times New Roman"/>
          <w:color w:val="auto"/>
          <w:sz w:val="32"/>
          <w:szCs w:val="32"/>
          <w:lang w:eastAsia="zh-CN"/>
        </w:rPr>
        <w:t>智慧服务能力显著提高，</w:t>
      </w:r>
      <w:r>
        <w:rPr>
          <w:rFonts w:hint="default" w:ascii="Times New Roman" w:hAnsi="Times New Roman" w:eastAsia="仿宋_GB2312" w:cs="Times New Roman"/>
          <w:color w:val="auto"/>
          <w:sz w:val="32"/>
          <w:szCs w:val="32"/>
          <w:highlight w:val="cyan"/>
          <w:lang w:eastAsia="zh-CN"/>
        </w:rPr>
        <w:t>社会保障卡实现发行应用全覆盖，</w:t>
      </w:r>
      <w:r>
        <w:rPr>
          <w:rFonts w:hint="default" w:ascii="Times New Roman" w:hAnsi="Times New Roman" w:eastAsia="仿宋_GB2312" w:cs="Times New Roman"/>
          <w:color w:val="auto"/>
          <w:sz w:val="32"/>
          <w:szCs w:val="32"/>
          <w:lang w:eastAsia="zh-CN"/>
        </w:rPr>
        <w:t>广大群众享有基本公共服务的可及性显著增强，</w:t>
      </w:r>
      <w:r>
        <w:rPr>
          <w:rFonts w:hint="eastAsia" w:ascii="Times New Roman" w:hAnsi="Times New Roman" w:eastAsia="仿宋_GB2312" w:cs="Times New Roman"/>
          <w:color w:val="auto"/>
          <w:sz w:val="32"/>
          <w:szCs w:val="32"/>
          <w:lang w:eastAsia="zh-CN"/>
        </w:rPr>
        <w:t>基本公共服务</w:t>
      </w:r>
      <w:r>
        <w:rPr>
          <w:rFonts w:hint="default" w:ascii="Times New Roman" w:hAnsi="Times New Roman" w:eastAsia="仿宋_GB2312" w:cs="Times New Roman"/>
          <w:color w:val="auto"/>
          <w:sz w:val="32"/>
          <w:szCs w:val="32"/>
          <w:lang w:eastAsia="zh-CN"/>
        </w:rPr>
        <w:t>均等化水平明显提高。</w:t>
      </w:r>
    </w:p>
    <w:p w14:paraId="582E7E2D">
      <w:pPr>
        <w:numPr>
          <w:ilvl w:val="0"/>
          <w:numId w:val="0"/>
        </w:numPr>
      </w:pPr>
    </w:p>
    <w:tbl>
      <w:tblPr>
        <w:tblStyle w:val="19"/>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1100"/>
        <w:gridCol w:w="1188"/>
        <w:gridCol w:w="1038"/>
      </w:tblGrid>
      <w:tr w14:paraId="7299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6" w:type="dxa"/>
            <w:gridSpan w:val="4"/>
            <w:shd w:val="clear" w:color="auto" w:fill="E7E6E6" w:themeFill="background2"/>
            <w:noWrap w:val="0"/>
            <w:vAlign w:val="top"/>
          </w:tcPr>
          <w:p w14:paraId="6F9D7015">
            <w:pPr>
              <w:keepNext w:val="0"/>
              <w:keepLines w:val="0"/>
              <w:pageBreakBefore w:val="0"/>
              <w:kinsoku/>
              <w:wordWrap/>
              <w:topLinePunct w:val="0"/>
              <w:autoSpaceDE/>
              <w:bidi w:val="0"/>
              <w:spacing w:beforeLines="0" w:afterLines="0" w:line="580" w:lineRule="exact"/>
              <w:jc w:val="center"/>
              <w:textAlignment w:val="auto"/>
              <w:rPr>
                <w:rFonts w:hint="eastAsia" w:ascii="Times New Roman" w:hAnsi="Times New Roman" w:eastAsia="仿宋_GB2312" w:cs="Times New Roman"/>
                <w:color w:val="000000"/>
                <w:sz w:val="32"/>
                <w:szCs w:val="32"/>
                <w:highlight w:val="none"/>
                <w:u w:val="none"/>
                <w:shd w:val="clear" w:color="auto" w:fill="auto"/>
                <w:vertAlign w:val="baseline"/>
                <w:lang w:val="en-US" w:eastAsia="zh-CN"/>
              </w:rPr>
            </w:pPr>
            <w:r>
              <w:rPr>
                <w:rFonts w:hint="default" w:ascii="Times New Roman" w:hAnsi="Times New Roman" w:eastAsia="黑体" w:cs="Times New Roman"/>
                <w:color w:val="000000"/>
                <w:sz w:val="28"/>
                <w:szCs w:val="28"/>
                <w:highlight w:val="none"/>
                <w:u w:val="none"/>
                <w:shd w:val="clear" w:color="auto" w:fill="auto"/>
                <w:vertAlign w:val="baseline"/>
                <w:lang w:eastAsia="zh-CN"/>
              </w:rPr>
              <w:t>专栏</w:t>
            </w:r>
            <w:r>
              <w:rPr>
                <w:rFonts w:hint="eastAsia" w:ascii="Times New Roman" w:hAnsi="Times New Roman" w:eastAsia="黑体" w:cs="Times New Roman"/>
                <w:color w:val="000000"/>
                <w:sz w:val="28"/>
                <w:szCs w:val="28"/>
                <w:highlight w:val="none"/>
                <w:u w:val="none"/>
                <w:shd w:val="clear" w:color="auto" w:fill="auto"/>
                <w:vertAlign w:val="baseline"/>
                <w:lang w:val="en-US" w:eastAsia="zh-CN"/>
              </w:rPr>
              <w:t>1</w:t>
            </w:r>
            <w:r>
              <w:rPr>
                <w:rFonts w:hint="default" w:ascii="Times New Roman" w:hAnsi="Times New Roman" w:eastAsia="黑体" w:cs="Times New Roman"/>
                <w:color w:val="000000"/>
                <w:sz w:val="28"/>
                <w:szCs w:val="28"/>
                <w:highlight w:val="none"/>
                <w:u w:val="none"/>
                <w:shd w:val="clear" w:color="auto" w:fill="auto"/>
                <w:vertAlign w:val="baseline"/>
                <w:lang w:val="en-US" w:eastAsia="zh-CN"/>
              </w:rPr>
              <w:t xml:space="preserve"> </w:t>
            </w:r>
            <w:r>
              <w:rPr>
                <w:rFonts w:hint="eastAsia" w:ascii="Times New Roman" w:hAnsi="Times New Roman" w:eastAsia="黑体" w:cs="Times New Roman"/>
                <w:color w:val="000000"/>
                <w:sz w:val="28"/>
                <w:szCs w:val="28"/>
                <w:highlight w:val="none"/>
                <w:u w:val="none"/>
                <w:shd w:val="clear" w:color="auto" w:fill="auto"/>
                <w:vertAlign w:val="baseline"/>
                <w:lang w:val="en-US" w:eastAsia="zh-CN"/>
              </w:rPr>
              <w:t xml:space="preserve"> “</w:t>
            </w:r>
            <w:r>
              <w:rPr>
                <w:rFonts w:hint="default" w:ascii="Times New Roman" w:hAnsi="Times New Roman" w:eastAsia="黑体" w:cs="Times New Roman"/>
                <w:color w:val="000000"/>
                <w:sz w:val="28"/>
                <w:szCs w:val="28"/>
                <w:highlight w:val="none"/>
                <w:u w:val="none"/>
                <w:shd w:val="clear" w:color="auto" w:fill="auto"/>
                <w:vertAlign w:val="baseline"/>
                <w:lang w:val="en-US" w:eastAsia="zh-CN"/>
              </w:rPr>
              <w:t>十四五</w:t>
            </w:r>
            <w:r>
              <w:rPr>
                <w:rFonts w:hint="eastAsia" w:ascii="Times New Roman" w:hAnsi="Times New Roman" w:eastAsia="黑体" w:cs="Times New Roman"/>
                <w:color w:val="000000"/>
                <w:sz w:val="28"/>
                <w:szCs w:val="28"/>
                <w:highlight w:val="none"/>
                <w:u w:val="none"/>
                <w:shd w:val="clear" w:color="auto" w:fill="auto"/>
                <w:vertAlign w:val="baseline"/>
                <w:lang w:val="en-US" w:eastAsia="zh-CN"/>
              </w:rPr>
              <w:t>”</w:t>
            </w:r>
            <w:r>
              <w:rPr>
                <w:rFonts w:hint="default" w:ascii="Times New Roman" w:hAnsi="Times New Roman" w:eastAsia="黑体" w:cs="Times New Roman"/>
                <w:color w:val="000000"/>
                <w:sz w:val="28"/>
                <w:szCs w:val="28"/>
                <w:highlight w:val="none"/>
                <w:u w:val="none"/>
                <w:shd w:val="clear" w:color="auto" w:fill="auto"/>
                <w:vertAlign w:val="baseline"/>
                <w:lang w:val="en-US" w:eastAsia="zh-CN"/>
              </w:rPr>
              <w:t>时期主要指标</w:t>
            </w:r>
          </w:p>
        </w:tc>
      </w:tr>
      <w:tr w14:paraId="2656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0" w:type="dxa"/>
            <w:noWrap w:val="0"/>
            <w:vAlign w:val="center"/>
          </w:tcPr>
          <w:p w14:paraId="7245E19D">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580" w:lineRule="exact"/>
              <w:jc w:val="center"/>
              <w:textAlignment w:val="auto"/>
              <w:outlineLvl w:val="9"/>
              <w:rPr>
                <w:rFonts w:hint="default" w:ascii="Times New Roman" w:hAnsi="Times New Roman" w:eastAsia="黑体" w:cs="Times New Roman"/>
                <w:color w:val="000000"/>
                <w:sz w:val="28"/>
                <w:szCs w:val="28"/>
                <w:highlight w:val="none"/>
                <w:u w:val="none"/>
                <w:vertAlign w:val="baseline"/>
                <w:lang w:eastAsia="zh-CN"/>
              </w:rPr>
            </w:pPr>
            <w:r>
              <w:rPr>
                <w:rFonts w:hint="default" w:ascii="Times New Roman" w:hAnsi="Times New Roman" w:eastAsia="黑体" w:cs="Times New Roman"/>
                <w:color w:val="000000"/>
                <w:sz w:val="28"/>
                <w:szCs w:val="28"/>
                <w:highlight w:val="none"/>
                <w:u w:val="none"/>
                <w:vertAlign w:val="baseline"/>
                <w:lang w:eastAsia="zh-CN"/>
              </w:rPr>
              <w:t>指标</w:t>
            </w:r>
          </w:p>
        </w:tc>
        <w:tc>
          <w:tcPr>
            <w:tcW w:w="1100" w:type="dxa"/>
            <w:noWrap w:val="0"/>
            <w:vAlign w:val="top"/>
          </w:tcPr>
          <w:p w14:paraId="140FCC0B">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580" w:lineRule="exact"/>
              <w:jc w:val="center"/>
              <w:textAlignment w:val="auto"/>
              <w:outlineLvl w:val="9"/>
              <w:rPr>
                <w:rFonts w:hint="default" w:ascii="Times New Roman" w:hAnsi="Times New Roman" w:eastAsia="黑体" w:cs="Times New Roman"/>
                <w:color w:val="000000"/>
                <w:sz w:val="28"/>
                <w:szCs w:val="28"/>
                <w:highlight w:val="none"/>
                <w:u w:val="none"/>
                <w:vertAlign w:val="baseline"/>
                <w:lang w:val="en-US" w:eastAsia="zh-CN"/>
              </w:rPr>
            </w:pPr>
            <w:r>
              <w:rPr>
                <w:rFonts w:hint="default" w:ascii="Times New Roman" w:hAnsi="Times New Roman" w:eastAsia="黑体" w:cs="Times New Roman"/>
                <w:color w:val="000000"/>
                <w:sz w:val="28"/>
                <w:szCs w:val="28"/>
                <w:highlight w:val="none"/>
                <w:u w:val="none"/>
                <w:vertAlign w:val="baseline"/>
                <w:lang w:val="en-US" w:eastAsia="zh-CN"/>
              </w:rPr>
              <w:t>2020年</w:t>
            </w:r>
          </w:p>
        </w:tc>
        <w:tc>
          <w:tcPr>
            <w:tcW w:w="1188" w:type="dxa"/>
            <w:noWrap w:val="0"/>
            <w:vAlign w:val="top"/>
          </w:tcPr>
          <w:p w14:paraId="76B3B73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580" w:lineRule="exact"/>
              <w:jc w:val="center"/>
              <w:textAlignment w:val="auto"/>
              <w:outlineLvl w:val="9"/>
              <w:rPr>
                <w:rFonts w:hint="default" w:ascii="Times New Roman" w:hAnsi="Times New Roman" w:eastAsia="黑体" w:cs="Times New Roman"/>
                <w:color w:val="000000"/>
                <w:sz w:val="28"/>
                <w:szCs w:val="28"/>
                <w:highlight w:val="none"/>
                <w:u w:val="none"/>
                <w:vertAlign w:val="baseline"/>
                <w:lang w:val="en-US" w:eastAsia="zh-CN"/>
              </w:rPr>
            </w:pPr>
            <w:r>
              <w:rPr>
                <w:rFonts w:hint="default" w:ascii="Times New Roman" w:hAnsi="Times New Roman" w:eastAsia="黑体" w:cs="Times New Roman"/>
                <w:color w:val="000000"/>
                <w:sz w:val="28"/>
                <w:szCs w:val="28"/>
                <w:highlight w:val="none"/>
                <w:u w:val="none"/>
                <w:vertAlign w:val="baseline"/>
                <w:lang w:val="en-US" w:eastAsia="zh-CN"/>
              </w:rPr>
              <w:t>2025年</w:t>
            </w:r>
          </w:p>
        </w:tc>
        <w:tc>
          <w:tcPr>
            <w:tcW w:w="1038" w:type="dxa"/>
            <w:noWrap w:val="0"/>
            <w:vAlign w:val="top"/>
          </w:tcPr>
          <w:p w14:paraId="2001696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580" w:lineRule="exact"/>
              <w:jc w:val="center"/>
              <w:textAlignment w:val="auto"/>
              <w:outlineLvl w:val="9"/>
              <w:rPr>
                <w:rFonts w:hint="default" w:ascii="Times New Roman" w:hAnsi="Times New Roman" w:eastAsia="黑体" w:cs="Times New Roman"/>
                <w:color w:val="000000"/>
                <w:sz w:val="28"/>
                <w:szCs w:val="28"/>
                <w:highlight w:val="none"/>
                <w:u w:val="none"/>
                <w:vertAlign w:val="baseline"/>
                <w:lang w:val="en-US" w:eastAsia="zh-CN"/>
              </w:rPr>
            </w:pPr>
            <w:r>
              <w:rPr>
                <w:rFonts w:hint="default" w:ascii="Times New Roman" w:hAnsi="Times New Roman" w:eastAsia="黑体" w:cs="Times New Roman"/>
                <w:color w:val="000000"/>
                <w:sz w:val="28"/>
                <w:szCs w:val="28"/>
                <w:highlight w:val="none"/>
                <w:u w:val="none"/>
                <w:vertAlign w:val="baseline"/>
                <w:lang w:val="en-US" w:eastAsia="zh-CN"/>
              </w:rPr>
              <w:t>属性</w:t>
            </w:r>
          </w:p>
        </w:tc>
      </w:tr>
      <w:tr w14:paraId="193D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176" w:type="dxa"/>
            <w:gridSpan w:val="4"/>
            <w:noWrap w:val="0"/>
            <w:vAlign w:val="center"/>
          </w:tcPr>
          <w:p w14:paraId="40B5E619">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b/>
                <w:bCs/>
                <w:color w:val="000000"/>
                <w:sz w:val="24"/>
                <w:szCs w:val="24"/>
                <w:highlight w:val="none"/>
                <w:u w:val="none"/>
                <w:vertAlign w:val="baseline"/>
                <w:lang w:val="en-US" w:eastAsia="zh-CN"/>
              </w:rPr>
              <w:t>一、就业</w:t>
            </w:r>
          </w:p>
        </w:tc>
      </w:tr>
      <w:tr w14:paraId="4607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0AD85FD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default" w:ascii="Times New Roman" w:hAnsi="Times New Roman" w:eastAsia="宋体" w:cs="Times New Roman"/>
                <w:color w:val="000000"/>
                <w:sz w:val="24"/>
                <w:szCs w:val="24"/>
                <w:highlight w:val="none"/>
                <w:u w:val="none"/>
                <w:vertAlign w:val="baseline"/>
                <w:lang w:val="en-US" w:eastAsia="zh-CN"/>
              </w:rPr>
              <w:t>1.城镇新增就业人数（万人）</w:t>
            </w:r>
          </w:p>
        </w:tc>
        <w:tc>
          <w:tcPr>
            <w:tcW w:w="1100" w:type="dxa"/>
            <w:noWrap w:val="0"/>
            <w:vAlign w:val="center"/>
          </w:tcPr>
          <w:p w14:paraId="20F47BFF">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188" w:type="dxa"/>
            <w:noWrap w:val="0"/>
            <w:vAlign w:val="center"/>
          </w:tcPr>
          <w:p w14:paraId="64E18374">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038" w:type="dxa"/>
            <w:noWrap w:val="0"/>
            <w:vAlign w:val="center"/>
          </w:tcPr>
          <w:p w14:paraId="2A361EC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sz w:val="24"/>
                <w:szCs w:val="24"/>
                <w:highlight w:val="none"/>
                <w:vertAlign w:val="baseline"/>
                <w:lang w:eastAsia="zh-CN"/>
              </w:rPr>
              <w:t>预期性</w:t>
            </w:r>
          </w:p>
        </w:tc>
      </w:tr>
      <w:tr w14:paraId="143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38C5213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default" w:ascii="Times New Roman" w:hAnsi="Times New Roman" w:eastAsia="宋体" w:cs="Times New Roman"/>
                <w:color w:val="000000"/>
                <w:sz w:val="24"/>
                <w:szCs w:val="24"/>
                <w:highlight w:val="none"/>
                <w:u w:val="none"/>
                <w:vertAlign w:val="baseline"/>
                <w:lang w:val="en-US" w:eastAsia="zh-CN"/>
              </w:rPr>
              <w:t>2.城镇调查失业率（％）</w:t>
            </w:r>
          </w:p>
        </w:tc>
        <w:tc>
          <w:tcPr>
            <w:tcW w:w="1100" w:type="dxa"/>
            <w:noWrap w:val="0"/>
            <w:vAlign w:val="center"/>
          </w:tcPr>
          <w:p w14:paraId="06A1B83F">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188" w:type="dxa"/>
            <w:noWrap w:val="0"/>
            <w:vAlign w:val="center"/>
          </w:tcPr>
          <w:p w14:paraId="3E76F8BC">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6A7587E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sz w:val="24"/>
                <w:szCs w:val="24"/>
                <w:highlight w:val="none"/>
                <w:vertAlign w:val="baseline"/>
                <w:lang w:eastAsia="zh-CN"/>
              </w:rPr>
              <w:t>预期性</w:t>
            </w:r>
          </w:p>
        </w:tc>
      </w:tr>
      <w:tr w14:paraId="65C4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50" w:type="dxa"/>
            <w:noWrap w:val="0"/>
            <w:vAlign w:val="center"/>
          </w:tcPr>
          <w:p w14:paraId="689BDE46">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both"/>
              <w:textAlignment w:val="auto"/>
              <w:outlineLvl w:val="9"/>
              <w:rPr>
                <w:rFonts w:hint="default" w:ascii="Times New Roman" w:hAnsi="Times New Roman" w:eastAsia="宋体" w:cs="Times New Roman"/>
                <w:b w:val="0"/>
                <w:bCs w:val="0"/>
                <w:color w:val="000000"/>
                <w:sz w:val="24"/>
                <w:szCs w:val="24"/>
                <w:highlight w:val="none"/>
                <w:u w:val="none"/>
                <w:vertAlign w:val="baseline"/>
                <w:lang w:val="en-US" w:eastAsia="zh-CN"/>
              </w:rPr>
            </w:pPr>
            <w:r>
              <w:rPr>
                <w:rFonts w:hint="eastAsia" w:ascii="Times New Roman" w:hAnsi="Times New Roman" w:cs="Times New Roman"/>
                <w:b w:val="0"/>
                <w:bCs w:val="0"/>
                <w:color w:val="000000"/>
                <w:sz w:val="24"/>
                <w:szCs w:val="24"/>
                <w:highlight w:val="none"/>
                <w:u w:val="none"/>
                <w:vertAlign w:val="baseline"/>
                <w:lang w:val="en-US" w:eastAsia="zh-CN"/>
              </w:rPr>
              <w:t>3.</w:t>
            </w:r>
            <w:r>
              <w:rPr>
                <w:rFonts w:hint="default" w:ascii="Times New Roman" w:hAnsi="Times New Roman" w:eastAsia="宋体" w:cs="Times New Roman"/>
                <w:b w:val="0"/>
                <w:bCs w:val="0"/>
                <w:color w:val="000000"/>
                <w:sz w:val="24"/>
                <w:szCs w:val="24"/>
                <w:highlight w:val="none"/>
                <w:u w:val="none"/>
                <w:vertAlign w:val="baseline"/>
                <w:lang w:val="en-US" w:eastAsia="zh-CN"/>
              </w:rPr>
              <w:t>开展补贴性职业技能培训人次（万人次）</w:t>
            </w:r>
          </w:p>
        </w:tc>
        <w:tc>
          <w:tcPr>
            <w:tcW w:w="1100" w:type="dxa"/>
            <w:noWrap w:val="0"/>
            <w:vAlign w:val="center"/>
          </w:tcPr>
          <w:p w14:paraId="5FB5CF14">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kern w:val="2"/>
                <w:sz w:val="24"/>
                <w:szCs w:val="24"/>
                <w:highlight w:val="none"/>
                <w:vertAlign w:val="baseline"/>
                <w:lang w:val="en-US" w:eastAsia="zh-CN" w:bidi="ar-SA"/>
              </w:rPr>
            </w:pPr>
          </w:p>
        </w:tc>
        <w:tc>
          <w:tcPr>
            <w:tcW w:w="1188" w:type="dxa"/>
            <w:noWrap w:val="0"/>
            <w:vAlign w:val="center"/>
          </w:tcPr>
          <w:p w14:paraId="0D978703">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sz w:val="24"/>
                <w:szCs w:val="24"/>
                <w:highlight w:val="none"/>
                <w:vertAlign w:val="baseline"/>
                <w:lang w:val="en-US" w:eastAsia="zh-CN"/>
              </w:rPr>
            </w:pPr>
          </w:p>
        </w:tc>
        <w:tc>
          <w:tcPr>
            <w:tcW w:w="1038" w:type="dxa"/>
            <w:noWrap w:val="0"/>
            <w:vAlign w:val="center"/>
          </w:tcPr>
          <w:p w14:paraId="2CCE7D9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left"/>
              <w:textAlignment w:val="auto"/>
              <w:outlineLvl w:val="9"/>
              <w:rPr>
                <w:rFonts w:hint="default" w:ascii="Times New Roman" w:hAnsi="Times New Roman" w:eastAsia="宋体" w:cs="Times New Roman"/>
                <w:sz w:val="24"/>
                <w:szCs w:val="24"/>
                <w:highlight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45F9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4D596486">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4.其中：</w:t>
            </w:r>
            <w:r>
              <w:rPr>
                <w:rFonts w:hint="default" w:ascii="Times New Roman" w:hAnsi="Times New Roman" w:eastAsia="宋体" w:cs="Times New Roman"/>
                <w:color w:val="000000"/>
                <w:sz w:val="24"/>
                <w:szCs w:val="24"/>
                <w:highlight w:val="none"/>
                <w:u w:val="none"/>
                <w:vertAlign w:val="baseline"/>
                <w:lang w:val="en-US" w:eastAsia="zh-CN"/>
              </w:rPr>
              <w:t>农民工参加职业培训人次（万人次）</w:t>
            </w:r>
          </w:p>
        </w:tc>
        <w:tc>
          <w:tcPr>
            <w:tcW w:w="1100" w:type="dxa"/>
            <w:noWrap w:val="0"/>
            <w:vAlign w:val="center"/>
          </w:tcPr>
          <w:p w14:paraId="496D5BB2">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75DD6F35">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0DF5E29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sz w:val="24"/>
                <w:szCs w:val="24"/>
                <w:highlight w:val="none"/>
                <w:vertAlign w:val="baseline"/>
                <w:lang w:eastAsia="zh-CN"/>
              </w:rPr>
              <w:t>预期性</w:t>
            </w:r>
          </w:p>
        </w:tc>
      </w:tr>
      <w:tr w14:paraId="4DFB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176" w:type="dxa"/>
            <w:gridSpan w:val="4"/>
            <w:noWrap w:val="0"/>
            <w:vAlign w:val="center"/>
          </w:tcPr>
          <w:p w14:paraId="05C508D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b/>
                <w:bCs/>
                <w:color w:val="000000"/>
                <w:sz w:val="24"/>
                <w:szCs w:val="24"/>
                <w:highlight w:val="none"/>
                <w:u w:val="none"/>
                <w:vertAlign w:val="baseline"/>
                <w:lang w:eastAsia="zh-CN"/>
              </w:rPr>
            </w:pPr>
            <w:r>
              <w:rPr>
                <w:rFonts w:hint="default" w:ascii="Times New Roman" w:hAnsi="Times New Roman" w:eastAsia="宋体" w:cs="Times New Roman"/>
                <w:b/>
                <w:bCs/>
                <w:color w:val="000000"/>
                <w:sz w:val="24"/>
                <w:szCs w:val="24"/>
                <w:highlight w:val="none"/>
                <w:u w:val="none"/>
                <w:vertAlign w:val="baseline"/>
                <w:lang w:val="en-US" w:eastAsia="zh-CN"/>
              </w:rPr>
              <w:t>二、社会保障</w:t>
            </w:r>
          </w:p>
        </w:tc>
      </w:tr>
      <w:tr w14:paraId="7613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6CF15FF6">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5</w:t>
            </w:r>
            <w:r>
              <w:rPr>
                <w:rFonts w:hint="default" w:ascii="Times New Roman" w:hAnsi="Times New Roman" w:eastAsia="宋体" w:cs="Times New Roman"/>
                <w:color w:val="000000"/>
                <w:sz w:val="24"/>
                <w:szCs w:val="24"/>
                <w:highlight w:val="none"/>
                <w:u w:val="none"/>
                <w:vertAlign w:val="baseline"/>
                <w:lang w:val="en-US" w:eastAsia="zh-CN"/>
              </w:rPr>
              <w:t>.基本养老保险参保率（％）</w:t>
            </w:r>
          </w:p>
        </w:tc>
        <w:tc>
          <w:tcPr>
            <w:tcW w:w="1100" w:type="dxa"/>
            <w:noWrap w:val="0"/>
            <w:vAlign w:val="center"/>
          </w:tcPr>
          <w:p w14:paraId="7BD1473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188" w:type="dxa"/>
            <w:noWrap w:val="0"/>
            <w:vAlign w:val="center"/>
          </w:tcPr>
          <w:p w14:paraId="7DF0B14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038" w:type="dxa"/>
            <w:noWrap w:val="0"/>
            <w:vAlign w:val="center"/>
          </w:tcPr>
          <w:p w14:paraId="64C0B7F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409F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5B74551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6</w:t>
            </w:r>
            <w:r>
              <w:rPr>
                <w:rFonts w:hint="default" w:ascii="Times New Roman" w:hAnsi="Times New Roman" w:eastAsia="宋体" w:cs="Times New Roman"/>
                <w:color w:val="000000"/>
                <w:sz w:val="24"/>
                <w:szCs w:val="24"/>
                <w:highlight w:val="none"/>
                <w:u w:val="none"/>
                <w:vertAlign w:val="baseline"/>
                <w:lang w:val="en-US" w:eastAsia="zh-CN"/>
              </w:rPr>
              <w:t>.失业保险参保人数（亿人）</w:t>
            </w:r>
          </w:p>
        </w:tc>
        <w:tc>
          <w:tcPr>
            <w:tcW w:w="1100" w:type="dxa"/>
            <w:noWrap w:val="0"/>
            <w:vAlign w:val="center"/>
          </w:tcPr>
          <w:p w14:paraId="51ADE517">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6652D049">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5F9AA43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约束性</w:t>
            </w:r>
          </w:p>
        </w:tc>
      </w:tr>
      <w:tr w14:paraId="4AD9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70A9E1B4">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7</w:t>
            </w:r>
            <w:r>
              <w:rPr>
                <w:rFonts w:hint="default" w:ascii="Times New Roman" w:hAnsi="Times New Roman" w:eastAsia="宋体" w:cs="Times New Roman"/>
                <w:color w:val="000000"/>
                <w:sz w:val="24"/>
                <w:szCs w:val="24"/>
                <w:highlight w:val="none"/>
                <w:u w:val="none"/>
                <w:vertAlign w:val="baseline"/>
                <w:lang w:val="en-US" w:eastAsia="zh-CN"/>
              </w:rPr>
              <w:t>.工伤保险参保人数（亿人）</w:t>
            </w:r>
          </w:p>
        </w:tc>
        <w:tc>
          <w:tcPr>
            <w:tcW w:w="1100" w:type="dxa"/>
            <w:noWrap w:val="0"/>
            <w:vAlign w:val="center"/>
          </w:tcPr>
          <w:p w14:paraId="2D69F9A7">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188" w:type="dxa"/>
            <w:noWrap w:val="0"/>
            <w:vAlign w:val="center"/>
          </w:tcPr>
          <w:p w14:paraId="1397A406">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56EFEA76">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约束性</w:t>
            </w:r>
          </w:p>
        </w:tc>
      </w:tr>
      <w:tr w14:paraId="389C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481F626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ascii="Times New Roman" w:hAnsi="Times New Roman" w:eastAsia="宋体" w:cs="Times New Roman"/>
                <w:color w:val="000000"/>
                <w:kern w:val="2"/>
                <w:sz w:val="24"/>
                <w:szCs w:val="24"/>
                <w:highlight w:val="none"/>
                <w:u w:val="none"/>
                <w:vertAlign w:val="baseline"/>
                <w:lang w:val="en-US" w:eastAsia="zh-CN" w:bidi="ar-SA"/>
              </w:rPr>
            </w:pPr>
            <w:r>
              <w:rPr>
                <w:rFonts w:hint="eastAsia" w:ascii="Times New Roman" w:hAnsi="Times New Roman" w:cs="Times New Roman"/>
                <w:color w:val="000000"/>
                <w:kern w:val="2"/>
                <w:sz w:val="24"/>
                <w:szCs w:val="24"/>
                <w:highlight w:val="none"/>
                <w:u w:val="none"/>
                <w:vertAlign w:val="baseline"/>
                <w:lang w:val="en-US" w:eastAsia="zh-CN" w:bidi="ar-SA"/>
              </w:rPr>
              <w:t>8</w:t>
            </w:r>
            <w:r>
              <w:rPr>
                <w:rFonts w:hint="default" w:ascii="Times New Roman" w:hAnsi="Times New Roman" w:eastAsia="宋体" w:cs="Times New Roman"/>
                <w:color w:val="000000"/>
                <w:kern w:val="2"/>
                <w:sz w:val="24"/>
                <w:szCs w:val="24"/>
                <w:highlight w:val="none"/>
                <w:u w:val="none"/>
                <w:vertAlign w:val="baseline"/>
                <w:lang w:val="en-US" w:eastAsia="zh-CN" w:bidi="ar-SA"/>
              </w:rPr>
              <w:t>.城乡居民基本养老保险基金</w:t>
            </w:r>
            <w:r>
              <w:rPr>
                <w:rFonts w:hint="eastAsia" w:ascii="Times New Roman" w:hAnsi="Times New Roman" w:eastAsia="宋体" w:cs="Times New Roman"/>
                <w:color w:val="000000"/>
                <w:kern w:val="2"/>
                <w:sz w:val="24"/>
                <w:szCs w:val="24"/>
                <w:highlight w:val="none"/>
                <w:u w:val="none"/>
                <w:vertAlign w:val="baseline"/>
                <w:lang w:val="en-US" w:eastAsia="zh-CN" w:bidi="ar-SA"/>
              </w:rPr>
              <w:t>委托投资资金总额</w:t>
            </w:r>
            <w:r>
              <w:rPr>
                <w:rFonts w:hint="default" w:ascii="Times New Roman" w:hAnsi="Times New Roman" w:eastAsia="宋体" w:cs="Times New Roman"/>
                <w:color w:val="000000"/>
                <w:kern w:val="2"/>
                <w:sz w:val="24"/>
                <w:szCs w:val="24"/>
                <w:highlight w:val="none"/>
                <w:u w:val="none"/>
                <w:vertAlign w:val="baseline"/>
                <w:lang w:val="en-US" w:eastAsia="zh-CN" w:bidi="ar-SA"/>
              </w:rPr>
              <w:t>（</w:t>
            </w:r>
            <w:r>
              <w:rPr>
                <w:rFonts w:hint="eastAsia" w:ascii="Times New Roman" w:hAnsi="Times New Roman" w:eastAsia="宋体" w:cs="Times New Roman"/>
                <w:color w:val="000000"/>
                <w:kern w:val="2"/>
                <w:sz w:val="24"/>
                <w:szCs w:val="24"/>
                <w:highlight w:val="none"/>
                <w:u w:val="none"/>
                <w:vertAlign w:val="baseline"/>
                <w:lang w:val="en-US" w:eastAsia="zh-CN" w:bidi="ar-SA"/>
              </w:rPr>
              <w:t>亿元</w:t>
            </w:r>
            <w:r>
              <w:rPr>
                <w:rFonts w:hint="default" w:ascii="Times New Roman" w:hAnsi="Times New Roman" w:eastAsia="宋体" w:cs="Times New Roman"/>
                <w:color w:val="000000"/>
                <w:kern w:val="2"/>
                <w:sz w:val="24"/>
                <w:szCs w:val="24"/>
                <w:highlight w:val="none"/>
                <w:u w:val="none"/>
                <w:vertAlign w:val="baseline"/>
                <w:lang w:val="en-US" w:eastAsia="zh-CN" w:bidi="ar-SA"/>
              </w:rPr>
              <w:t>）</w:t>
            </w:r>
          </w:p>
        </w:tc>
        <w:tc>
          <w:tcPr>
            <w:tcW w:w="1100" w:type="dxa"/>
            <w:noWrap w:val="0"/>
            <w:vAlign w:val="center"/>
          </w:tcPr>
          <w:p w14:paraId="5AB48FC0">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188" w:type="dxa"/>
            <w:noWrap w:val="0"/>
            <w:vAlign w:val="center"/>
          </w:tcPr>
          <w:p w14:paraId="52187984">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03FFDCB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sz w:val="24"/>
                <w:szCs w:val="24"/>
                <w:highlight w:val="none"/>
                <w:vertAlign w:val="baseline"/>
                <w:lang w:eastAsia="zh-CN"/>
              </w:rPr>
              <w:t>预期性</w:t>
            </w:r>
          </w:p>
        </w:tc>
      </w:tr>
      <w:tr w14:paraId="10E2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6" w:type="dxa"/>
            <w:gridSpan w:val="4"/>
            <w:noWrap w:val="0"/>
            <w:vAlign w:val="center"/>
          </w:tcPr>
          <w:p w14:paraId="0CDD1B6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b/>
                <w:bCs/>
                <w:color w:val="000000"/>
                <w:sz w:val="24"/>
                <w:szCs w:val="24"/>
                <w:highlight w:val="none"/>
                <w:u w:val="none"/>
                <w:vertAlign w:val="baseline"/>
                <w:lang w:val="en-US" w:eastAsia="zh-CN"/>
              </w:rPr>
              <w:t>三、人才人事</w:t>
            </w:r>
          </w:p>
        </w:tc>
      </w:tr>
      <w:tr w14:paraId="0874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850" w:type="dxa"/>
            <w:noWrap w:val="0"/>
            <w:vAlign w:val="center"/>
          </w:tcPr>
          <w:p w14:paraId="6CA19183">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b w:val="0"/>
                <w:bCs w:val="0"/>
                <w:color w:val="000000"/>
                <w:sz w:val="24"/>
                <w:szCs w:val="24"/>
                <w:highlight w:val="none"/>
                <w:u w:val="none"/>
                <w:vertAlign w:val="baseline"/>
                <w:lang w:val="en-US" w:eastAsia="zh-CN"/>
              </w:rPr>
            </w:pPr>
            <w:r>
              <w:rPr>
                <w:rFonts w:hint="eastAsia" w:ascii="Times New Roman" w:hAnsi="Times New Roman" w:cs="Times New Roman"/>
                <w:b w:val="0"/>
                <w:bCs w:val="0"/>
                <w:color w:val="000000"/>
                <w:sz w:val="24"/>
                <w:szCs w:val="24"/>
                <w:highlight w:val="none"/>
                <w:u w:val="none"/>
                <w:vertAlign w:val="baseline"/>
                <w:lang w:val="en-US" w:eastAsia="zh-CN"/>
              </w:rPr>
              <w:t>9</w:t>
            </w:r>
            <w:r>
              <w:rPr>
                <w:rFonts w:hint="eastAsia" w:ascii="Times New Roman" w:hAnsi="Times New Roman" w:eastAsia="宋体" w:cs="Times New Roman"/>
                <w:b w:val="0"/>
                <w:bCs w:val="0"/>
                <w:color w:val="000000"/>
                <w:sz w:val="24"/>
                <w:szCs w:val="24"/>
                <w:highlight w:val="none"/>
                <w:u w:val="none"/>
                <w:vertAlign w:val="baseline"/>
                <w:lang w:val="en-US" w:eastAsia="zh-CN"/>
              </w:rPr>
              <w:t>.</w:t>
            </w:r>
            <w:r>
              <w:rPr>
                <w:rFonts w:hint="default" w:ascii="Times New Roman" w:hAnsi="Times New Roman" w:eastAsia="宋体" w:cs="Times New Roman"/>
                <w:b w:val="0"/>
                <w:bCs w:val="0"/>
                <w:color w:val="000000"/>
                <w:sz w:val="24"/>
                <w:szCs w:val="24"/>
                <w:highlight w:val="none"/>
                <w:u w:val="none"/>
                <w:vertAlign w:val="baseline"/>
                <w:lang w:val="en-US" w:eastAsia="zh-CN"/>
              </w:rPr>
              <w:t>专业技术人才总量（万人）</w:t>
            </w:r>
          </w:p>
        </w:tc>
        <w:tc>
          <w:tcPr>
            <w:tcW w:w="1100" w:type="dxa"/>
            <w:noWrap w:val="0"/>
            <w:vAlign w:val="center"/>
          </w:tcPr>
          <w:p w14:paraId="60ACDF65">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5.3</w:t>
            </w:r>
          </w:p>
        </w:tc>
        <w:tc>
          <w:tcPr>
            <w:tcW w:w="1188" w:type="dxa"/>
            <w:noWrap w:val="0"/>
            <w:vAlign w:val="center"/>
          </w:tcPr>
          <w:p w14:paraId="7B3C00A2">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6.8</w:t>
            </w:r>
          </w:p>
        </w:tc>
        <w:tc>
          <w:tcPr>
            <w:tcW w:w="1038" w:type="dxa"/>
            <w:noWrap w:val="0"/>
            <w:vAlign w:val="center"/>
          </w:tcPr>
          <w:p w14:paraId="3DD8ACEE">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sz w:val="24"/>
                <w:szCs w:val="24"/>
                <w:highlight w:val="none"/>
                <w:vertAlign w:val="baseline"/>
                <w:lang w:eastAsia="zh-CN"/>
              </w:rPr>
              <w:t>预期性</w:t>
            </w:r>
          </w:p>
        </w:tc>
      </w:tr>
      <w:tr w14:paraId="62A2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850" w:type="dxa"/>
            <w:noWrap w:val="0"/>
            <w:vAlign w:val="top"/>
          </w:tcPr>
          <w:p w14:paraId="6EBC3291">
            <w:pPr>
              <w:spacing w:line="360" w:lineRule="auto"/>
              <w:ind w:left="0" w:leftChars="0" w:firstLine="0" w:firstLineChars="0"/>
              <w:rPr>
                <w:rFonts w:hint="default" w:ascii="Times New Roman" w:hAnsi="Times New Roman" w:eastAsia="宋体" w:cs="Times New Roman"/>
                <w:b w:val="0"/>
                <w:bCs w:val="0"/>
                <w:color w:val="000000"/>
                <w:kern w:val="2"/>
                <w:sz w:val="24"/>
                <w:szCs w:val="24"/>
                <w:highlight w:val="none"/>
                <w:u w:val="none"/>
                <w:vertAlign w:val="baseline"/>
                <w:lang w:val="en-US" w:eastAsia="zh-CN" w:bidi="ar-SA"/>
              </w:rPr>
            </w:pPr>
            <w:r>
              <w:rPr>
                <w:rFonts w:hint="eastAsia" w:ascii="Times New Roman" w:hAnsi="Times New Roman" w:eastAsia="宋体" w:cs="Times New Roman"/>
                <w:b w:val="0"/>
                <w:bCs w:val="0"/>
                <w:color w:val="000000"/>
                <w:kern w:val="2"/>
                <w:sz w:val="24"/>
                <w:szCs w:val="24"/>
                <w:highlight w:val="none"/>
                <w:u w:val="none"/>
                <w:vertAlign w:val="baseline"/>
                <w:lang w:val="en-US" w:eastAsia="zh-CN" w:bidi="ar-SA"/>
              </w:rPr>
              <w:t>10.其中：高级职称人才数量</w:t>
            </w:r>
          </w:p>
        </w:tc>
        <w:tc>
          <w:tcPr>
            <w:tcW w:w="1100" w:type="dxa"/>
            <w:noWrap w:val="0"/>
            <w:vAlign w:val="center"/>
          </w:tcPr>
          <w:p w14:paraId="417F97B1">
            <w:pPr>
              <w:spacing w:line="360" w:lineRule="auto"/>
              <w:ind w:left="0" w:leftChars="0" w:firstLine="0" w:firstLineChars="0"/>
              <w:jc w:val="center"/>
              <w:rPr>
                <w:rFonts w:hint="default" w:ascii="Times New Roman" w:hAnsi="Times New Roman" w:eastAsia="宋体" w:cs="Times New Roman"/>
                <w:b w:val="0"/>
                <w:bCs w:val="0"/>
                <w:color w:val="000000"/>
                <w:kern w:val="2"/>
                <w:sz w:val="24"/>
                <w:szCs w:val="24"/>
                <w:highlight w:val="none"/>
                <w:u w:val="none"/>
                <w:vertAlign w:val="baseline"/>
                <w:lang w:val="en-US" w:eastAsia="zh-CN" w:bidi="ar-SA"/>
              </w:rPr>
            </w:pPr>
            <w:r>
              <w:rPr>
                <w:rFonts w:hint="eastAsia" w:ascii="Times New Roman" w:hAnsi="Times New Roman" w:eastAsia="宋体" w:cs="Times New Roman"/>
                <w:b w:val="0"/>
                <w:bCs w:val="0"/>
                <w:color w:val="000000"/>
                <w:kern w:val="2"/>
                <w:sz w:val="24"/>
                <w:szCs w:val="24"/>
                <w:highlight w:val="none"/>
                <w:u w:val="none"/>
                <w:vertAlign w:val="baseline"/>
                <w:lang w:val="en-US" w:eastAsia="zh-CN" w:bidi="ar-SA"/>
              </w:rPr>
              <w:t>0.4</w:t>
            </w:r>
          </w:p>
        </w:tc>
        <w:tc>
          <w:tcPr>
            <w:tcW w:w="1188" w:type="dxa"/>
            <w:noWrap w:val="0"/>
            <w:vAlign w:val="center"/>
          </w:tcPr>
          <w:p w14:paraId="03CB58D6">
            <w:pPr>
              <w:spacing w:line="360" w:lineRule="auto"/>
              <w:ind w:left="0" w:leftChars="0" w:firstLine="0" w:firstLineChars="0"/>
              <w:jc w:val="center"/>
              <w:rPr>
                <w:rFonts w:hint="default" w:ascii="Times New Roman" w:hAnsi="Times New Roman" w:eastAsia="宋体" w:cs="Times New Roman"/>
                <w:b w:val="0"/>
                <w:bCs w:val="0"/>
                <w:color w:val="000000"/>
                <w:kern w:val="2"/>
                <w:sz w:val="24"/>
                <w:szCs w:val="24"/>
                <w:highlight w:val="none"/>
                <w:u w:val="none"/>
                <w:vertAlign w:val="baseline"/>
                <w:lang w:val="en-US" w:eastAsia="zh-CN" w:bidi="ar-SA"/>
              </w:rPr>
            </w:pPr>
            <w:r>
              <w:rPr>
                <w:rFonts w:hint="eastAsia" w:ascii="Times New Roman" w:hAnsi="Times New Roman" w:eastAsia="宋体" w:cs="Times New Roman"/>
                <w:b w:val="0"/>
                <w:bCs w:val="0"/>
                <w:color w:val="000000"/>
                <w:kern w:val="2"/>
                <w:sz w:val="24"/>
                <w:szCs w:val="24"/>
                <w:highlight w:val="none"/>
                <w:u w:val="none"/>
                <w:vertAlign w:val="baseline"/>
                <w:lang w:val="en-US" w:eastAsia="zh-CN" w:bidi="ar-SA"/>
              </w:rPr>
              <w:t>0.6</w:t>
            </w:r>
          </w:p>
        </w:tc>
        <w:tc>
          <w:tcPr>
            <w:tcW w:w="1038" w:type="dxa"/>
            <w:noWrap w:val="0"/>
            <w:vAlign w:val="center"/>
          </w:tcPr>
          <w:p w14:paraId="06D8BC6F">
            <w:pPr>
              <w:spacing w:line="360" w:lineRule="auto"/>
              <w:ind w:left="0" w:leftChars="0" w:firstLine="0" w:firstLineChars="0"/>
              <w:jc w:val="left"/>
              <w:rPr>
                <w:rFonts w:hint="default" w:ascii="Times New Roman" w:hAnsi="Times New Roman" w:eastAsia="宋体" w:cs="Times New Roman"/>
                <w:b w:val="0"/>
                <w:bCs w:val="0"/>
                <w:color w:val="000000"/>
                <w:kern w:val="2"/>
                <w:sz w:val="24"/>
                <w:szCs w:val="24"/>
                <w:highlight w:val="none"/>
                <w:u w:val="none"/>
                <w:vertAlign w:val="baseline"/>
                <w:lang w:val="en-US" w:eastAsia="zh-CN" w:bidi="ar-SA"/>
              </w:rPr>
            </w:pPr>
            <w:r>
              <w:rPr>
                <w:rFonts w:hint="eastAsia" w:ascii="Times New Roman" w:hAnsi="Times New Roman" w:eastAsia="宋体" w:cs="Times New Roman"/>
                <w:b w:val="0"/>
                <w:bCs w:val="0"/>
                <w:color w:val="000000"/>
                <w:kern w:val="2"/>
                <w:sz w:val="24"/>
                <w:szCs w:val="24"/>
                <w:highlight w:val="none"/>
                <w:u w:val="none"/>
                <w:vertAlign w:val="baseline"/>
                <w:lang w:val="en-US" w:eastAsia="zh-CN" w:bidi="ar-SA"/>
              </w:rPr>
              <w:t>预期性</w:t>
            </w:r>
          </w:p>
        </w:tc>
      </w:tr>
      <w:tr w14:paraId="10C9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61A5017F">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b w:val="0"/>
                <w:bCs w:val="0"/>
                <w:color w:val="000000"/>
                <w:sz w:val="24"/>
                <w:szCs w:val="24"/>
                <w:highlight w:val="none"/>
                <w:u w:val="none"/>
                <w:vertAlign w:val="baseline"/>
                <w:lang w:val="en-US" w:eastAsia="zh-CN"/>
              </w:rPr>
            </w:pPr>
            <w:r>
              <w:rPr>
                <w:rFonts w:hint="default" w:ascii="Times New Roman" w:hAnsi="Times New Roman" w:eastAsia="宋体" w:cs="Times New Roman"/>
                <w:b w:val="0"/>
                <w:bCs w:val="0"/>
                <w:color w:val="000000"/>
                <w:sz w:val="24"/>
                <w:szCs w:val="24"/>
                <w:highlight w:val="none"/>
                <w:u w:val="none"/>
                <w:vertAlign w:val="baseline"/>
                <w:lang w:val="en-US" w:eastAsia="zh-CN"/>
              </w:rPr>
              <w:t>1</w:t>
            </w:r>
            <w:r>
              <w:rPr>
                <w:rFonts w:hint="eastAsia" w:ascii="Times New Roman" w:hAnsi="Times New Roman" w:cs="Times New Roman"/>
                <w:b w:val="0"/>
                <w:bCs w:val="0"/>
                <w:color w:val="000000"/>
                <w:sz w:val="24"/>
                <w:szCs w:val="24"/>
                <w:highlight w:val="none"/>
                <w:u w:val="none"/>
                <w:vertAlign w:val="baseline"/>
                <w:lang w:val="en-US" w:eastAsia="zh-CN"/>
              </w:rPr>
              <w:t>1</w:t>
            </w:r>
            <w:r>
              <w:rPr>
                <w:rFonts w:hint="default" w:ascii="Times New Roman" w:hAnsi="Times New Roman" w:eastAsia="宋体" w:cs="Times New Roman"/>
                <w:b w:val="0"/>
                <w:bCs w:val="0"/>
                <w:color w:val="000000"/>
                <w:sz w:val="24"/>
                <w:szCs w:val="24"/>
                <w:highlight w:val="none"/>
                <w:u w:val="none"/>
                <w:vertAlign w:val="baseline"/>
                <w:lang w:val="en-US" w:eastAsia="zh-CN"/>
              </w:rPr>
              <w:t>.新增取得专业技术人员职业资格证书人数（万人）</w:t>
            </w:r>
          </w:p>
        </w:tc>
        <w:tc>
          <w:tcPr>
            <w:tcW w:w="1100" w:type="dxa"/>
            <w:noWrap w:val="0"/>
            <w:vAlign w:val="center"/>
          </w:tcPr>
          <w:p w14:paraId="460F79B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0.06</w:t>
            </w:r>
          </w:p>
        </w:tc>
        <w:tc>
          <w:tcPr>
            <w:tcW w:w="1188" w:type="dxa"/>
            <w:noWrap w:val="0"/>
            <w:vAlign w:val="center"/>
          </w:tcPr>
          <w:p w14:paraId="295C19E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0.3</w:t>
            </w:r>
          </w:p>
        </w:tc>
        <w:tc>
          <w:tcPr>
            <w:tcW w:w="1038" w:type="dxa"/>
            <w:noWrap w:val="0"/>
            <w:vAlign w:val="center"/>
          </w:tcPr>
          <w:p w14:paraId="5CFD8D98">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55E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078BB073">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b w:val="0"/>
                <w:bCs w:val="0"/>
                <w:color w:val="000000"/>
                <w:sz w:val="24"/>
                <w:szCs w:val="24"/>
                <w:highlight w:val="none"/>
                <w:u w:val="none"/>
                <w:vertAlign w:val="baseline"/>
                <w:lang w:val="en-US" w:eastAsia="zh-CN"/>
              </w:rPr>
            </w:pPr>
            <w:r>
              <w:rPr>
                <w:rFonts w:hint="eastAsia" w:ascii="Times New Roman" w:hAnsi="Times New Roman" w:cs="Times New Roman"/>
                <w:b w:val="0"/>
                <w:bCs w:val="0"/>
                <w:color w:val="000000"/>
                <w:sz w:val="24"/>
                <w:szCs w:val="24"/>
                <w:highlight w:val="none"/>
                <w:u w:val="none"/>
                <w:vertAlign w:val="baseline"/>
                <w:lang w:val="en-US" w:eastAsia="zh-CN"/>
              </w:rPr>
              <w:t>12</w:t>
            </w:r>
            <w:r>
              <w:rPr>
                <w:rFonts w:hint="eastAsia" w:ascii="Times New Roman" w:hAnsi="Times New Roman" w:cs="Times New Roman"/>
                <w:b/>
                <w:bCs/>
                <w:color w:val="000000"/>
                <w:sz w:val="24"/>
                <w:szCs w:val="24"/>
                <w:highlight w:val="none"/>
                <w:u w:val="none"/>
                <w:vertAlign w:val="baseline"/>
                <w:lang w:val="en-US" w:eastAsia="zh-CN"/>
              </w:rPr>
              <w:t>.</w:t>
            </w:r>
            <w:r>
              <w:rPr>
                <w:rFonts w:hint="default" w:ascii="Times New Roman" w:hAnsi="Times New Roman" w:eastAsia="宋体" w:cs="Times New Roman"/>
                <w:b w:val="0"/>
                <w:bCs w:val="0"/>
                <w:color w:val="000000"/>
                <w:sz w:val="24"/>
                <w:szCs w:val="24"/>
                <w:highlight w:val="none"/>
                <w:u w:val="none"/>
                <w:vertAlign w:val="baseline"/>
                <w:lang w:val="en-US" w:eastAsia="zh-CN"/>
              </w:rPr>
              <w:t>新增取得职业资格证书</w:t>
            </w:r>
            <w:r>
              <w:rPr>
                <w:rFonts w:hint="eastAsia" w:ascii="Times New Roman" w:hAnsi="Times New Roman" w:cs="Times New Roman"/>
                <w:b w:val="0"/>
                <w:bCs w:val="0"/>
                <w:color w:val="000000"/>
                <w:sz w:val="24"/>
                <w:szCs w:val="24"/>
                <w:highlight w:val="none"/>
                <w:u w:val="none"/>
                <w:vertAlign w:val="baseline"/>
                <w:lang w:val="en-US" w:eastAsia="zh-CN"/>
              </w:rPr>
              <w:t>或职业技能等级证书</w:t>
            </w:r>
            <w:r>
              <w:rPr>
                <w:rFonts w:hint="default" w:ascii="Times New Roman" w:hAnsi="Times New Roman" w:eastAsia="宋体" w:cs="Times New Roman"/>
                <w:b w:val="0"/>
                <w:bCs w:val="0"/>
                <w:color w:val="000000"/>
                <w:sz w:val="24"/>
                <w:szCs w:val="24"/>
                <w:highlight w:val="none"/>
                <w:u w:val="none"/>
                <w:vertAlign w:val="baseline"/>
                <w:lang w:val="en-US" w:eastAsia="zh-CN"/>
              </w:rPr>
              <w:t>人数（万人）</w:t>
            </w:r>
          </w:p>
        </w:tc>
        <w:tc>
          <w:tcPr>
            <w:tcW w:w="1100" w:type="dxa"/>
            <w:noWrap w:val="0"/>
            <w:vAlign w:val="center"/>
          </w:tcPr>
          <w:p w14:paraId="2A3FFC15">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67282D94">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180C8A04">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eastAsia" w:ascii="Times New Roman" w:hAnsi="Times New Roman" w:cs="Times New Roman"/>
                <w:color w:val="000000"/>
                <w:sz w:val="24"/>
                <w:szCs w:val="24"/>
                <w:highlight w:val="none"/>
                <w:u w:val="none"/>
                <w:vertAlign w:val="baseline"/>
                <w:lang w:eastAsia="zh-CN"/>
              </w:rPr>
              <w:t>预期性</w:t>
            </w:r>
          </w:p>
        </w:tc>
      </w:tr>
      <w:tr w14:paraId="7650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393E547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b w:val="0"/>
                <w:bCs w:val="0"/>
                <w:color w:val="000000"/>
                <w:sz w:val="24"/>
                <w:szCs w:val="24"/>
                <w:highlight w:val="none"/>
                <w:u w:val="none"/>
                <w:vertAlign w:val="baseline"/>
                <w:lang w:val="en-US" w:eastAsia="zh-CN"/>
              </w:rPr>
            </w:pPr>
            <w:r>
              <w:rPr>
                <w:rFonts w:hint="eastAsia" w:ascii="Times New Roman" w:hAnsi="Times New Roman" w:cs="Times New Roman"/>
                <w:b w:val="0"/>
                <w:bCs w:val="0"/>
                <w:color w:val="000000"/>
                <w:sz w:val="24"/>
                <w:szCs w:val="24"/>
                <w:highlight w:val="none"/>
                <w:u w:val="none"/>
                <w:vertAlign w:val="baseline"/>
                <w:lang w:val="en-US" w:eastAsia="zh-CN"/>
              </w:rPr>
              <w:t>13.其中：</w:t>
            </w:r>
            <w:r>
              <w:rPr>
                <w:rFonts w:hint="default" w:ascii="Times New Roman" w:hAnsi="Times New Roman" w:eastAsia="宋体" w:cs="Times New Roman"/>
                <w:b w:val="0"/>
                <w:bCs w:val="0"/>
                <w:color w:val="000000"/>
                <w:sz w:val="24"/>
                <w:szCs w:val="24"/>
                <w:highlight w:val="none"/>
                <w:u w:val="none"/>
                <w:vertAlign w:val="baseline"/>
                <w:lang w:val="en-US" w:eastAsia="zh-CN"/>
              </w:rPr>
              <w:t>新增取得</w:t>
            </w:r>
            <w:r>
              <w:rPr>
                <w:rFonts w:hint="eastAsia" w:ascii="Times New Roman" w:hAnsi="Times New Roman" w:cs="Times New Roman"/>
                <w:b w:val="0"/>
                <w:bCs w:val="0"/>
                <w:color w:val="000000"/>
                <w:sz w:val="24"/>
                <w:szCs w:val="24"/>
                <w:highlight w:val="none"/>
                <w:u w:val="none"/>
                <w:vertAlign w:val="baseline"/>
                <w:lang w:val="en-US" w:eastAsia="zh-CN"/>
              </w:rPr>
              <w:t>高级工以上</w:t>
            </w:r>
            <w:r>
              <w:rPr>
                <w:rFonts w:hint="default" w:ascii="Times New Roman" w:hAnsi="Times New Roman" w:eastAsia="宋体" w:cs="Times New Roman"/>
                <w:b w:val="0"/>
                <w:bCs w:val="0"/>
                <w:color w:val="000000"/>
                <w:sz w:val="24"/>
                <w:szCs w:val="24"/>
                <w:highlight w:val="none"/>
                <w:u w:val="none"/>
                <w:vertAlign w:val="baseline"/>
                <w:lang w:val="en-US" w:eastAsia="zh-CN"/>
              </w:rPr>
              <w:t>职业资格证书</w:t>
            </w:r>
            <w:r>
              <w:rPr>
                <w:rFonts w:hint="eastAsia" w:ascii="Times New Roman" w:hAnsi="Times New Roman" w:cs="Times New Roman"/>
                <w:b w:val="0"/>
                <w:bCs w:val="0"/>
                <w:color w:val="000000"/>
                <w:sz w:val="24"/>
                <w:szCs w:val="24"/>
                <w:highlight w:val="none"/>
                <w:u w:val="none"/>
                <w:vertAlign w:val="baseline"/>
                <w:lang w:val="en-US" w:eastAsia="zh-CN"/>
              </w:rPr>
              <w:t>或职业技能等级证书</w:t>
            </w:r>
            <w:r>
              <w:rPr>
                <w:rFonts w:hint="default" w:ascii="Times New Roman" w:hAnsi="Times New Roman" w:eastAsia="宋体" w:cs="Times New Roman"/>
                <w:b w:val="0"/>
                <w:bCs w:val="0"/>
                <w:color w:val="000000"/>
                <w:sz w:val="24"/>
                <w:szCs w:val="24"/>
                <w:highlight w:val="none"/>
                <w:u w:val="none"/>
                <w:vertAlign w:val="baseline"/>
                <w:lang w:val="en-US" w:eastAsia="zh-CN"/>
              </w:rPr>
              <w:t>人数（万人）</w:t>
            </w:r>
          </w:p>
        </w:tc>
        <w:tc>
          <w:tcPr>
            <w:tcW w:w="1100" w:type="dxa"/>
            <w:noWrap w:val="0"/>
            <w:vAlign w:val="center"/>
          </w:tcPr>
          <w:p w14:paraId="219F8C54">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73484707">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0B484E1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预期性</w:t>
            </w:r>
          </w:p>
        </w:tc>
      </w:tr>
      <w:tr w14:paraId="20BB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6" w:type="dxa"/>
            <w:gridSpan w:val="4"/>
            <w:noWrap w:val="0"/>
            <w:vAlign w:val="center"/>
          </w:tcPr>
          <w:p w14:paraId="4FC3A58D">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b/>
                <w:bCs/>
                <w:color w:val="000000"/>
                <w:sz w:val="24"/>
                <w:szCs w:val="24"/>
                <w:highlight w:val="none"/>
                <w:u w:val="none"/>
                <w:vertAlign w:val="baseline"/>
                <w:lang w:val="en-US" w:eastAsia="zh-CN"/>
              </w:rPr>
              <w:t>四、劳动关系</w:t>
            </w:r>
          </w:p>
        </w:tc>
      </w:tr>
      <w:tr w14:paraId="7607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26288697">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default" w:ascii="Times New Roman" w:hAnsi="Times New Roman" w:eastAsia="宋体" w:cs="Times New Roman"/>
                <w:color w:val="000000"/>
                <w:sz w:val="24"/>
                <w:szCs w:val="24"/>
                <w:highlight w:val="none"/>
                <w:u w:val="none"/>
                <w:vertAlign w:val="baseline"/>
                <w:lang w:val="en-US" w:eastAsia="zh-CN"/>
              </w:rPr>
              <w:t>1</w:t>
            </w:r>
            <w:r>
              <w:rPr>
                <w:rFonts w:hint="eastAsia" w:ascii="Times New Roman" w:hAnsi="Times New Roman" w:cs="Times New Roman"/>
                <w:color w:val="000000"/>
                <w:sz w:val="24"/>
                <w:szCs w:val="24"/>
                <w:highlight w:val="none"/>
                <w:u w:val="none"/>
                <w:vertAlign w:val="baseline"/>
                <w:lang w:val="en-US" w:eastAsia="zh-CN"/>
              </w:rPr>
              <w:t>4</w:t>
            </w:r>
            <w:r>
              <w:rPr>
                <w:rFonts w:hint="default" w:ascii="Times New Roman" w:hAnsi="Times New Roman" w:eastAsia="宋体" w:cs="Times New Roman"/>
                <w:color w:val="000000"/>
                <w:sz w:val="24"/>
                <w:szCs w:val="24"/>
                <w:highlight w:val="none"/>
                <w:u w:val="none"/>
                <w:vertAlign w:val="baseline"/>
                <w:lang w:val="en-US" w:eastAsia="zh-CN"/>
              </w:rPr>
              <w:t>.劳动人事争议调解成功率</w:t>
            </w:r>
            <w:r>
              <w:rPr>
                <w:rFonts w:hint="default" w:ascii="Times New Roman" w:hAnsi="Times New Roman" w:eastAsia="宋体" w:cs="Times New Roman"/>
                <w:color w:val="000000"/>
                <w:kern w:val="2"/>
                <w:sz w:val="24"/>
                <w:szCs w:val="24"/>
                <w:highlight w:val="none"/>
                <w:u w:val="none"/>
                <w:vertAlign w:val="baseline"/>
                <w:lang w:val="en-US" w:eastAsia="zh-CN" w:bidi="ar-SA"/>
              </w:rPr>
              <w:t>（%）</w:t>
            </w:r>
          </w:p>
        </w:tc>
        <w:tc>
          <w:tcPr>
            <w:tcW w:w="1100" w:type="dxa"/>
            <w:noWrap w:val="0"/>
            <w:vAlign w:val="center"/>
          </w:tcPr>
          <w:p w14:paraId="6FD879CD">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25186CC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1C163F9A">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451E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71AFA988">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default" w:ascii="Times New Roman" w:hAnsi="Times New Roman" w:eastAsia="宋体" w:cs="Times New Roman"/>
                <w:color w:val="000000"/>
                <w:sz w:val="24"/>
                <w:szCs w:val="24"/>
                <w:highlight w:val="none"/>
                <w:u w:val="none"/>
                <w:vertAlign w:val="baseline"/>
                <w:lang w:val="en-US" w:eastAsia="zh-CN"/>
              </w:rPr>
              <w:t>1</w:t>
            </w:r>
            <w:r>
              <w:rPr>
                <w:rFonts w:hint="eastAsia" w:ascii="Times New Roman" w:hAnsi="Times New Roman" w:cs="Times New Roman"/>
                <w:color w:val="000000"/>
                <w:sz w:val="24"/>
                <w:szCs w:val="24"/>
                <w:highlight w:val="none"/>
                <w:u w:val="none"/>
                <w:vertAlign w:val="baseline"/>
                <w:lang w:val="en-US" w:eastAsia="zh-CN"/>
              </w:rPr>
              <w:t>5</w:t>
            </w:r>
            <w:r>
              <w:rPr>
                <w:rFonts w:hint="default" w:ascii="Times New Roman" w:hAnsi="Times New Roman" w:eastAsia="宋体" w:cs="Times New Roman"/>
                <w:color w:val="000000"/>
                <w:sz w:val="24"/>
                <w:szCs w:val="24"/>
                <w:highlight w:val="none"/>
                <w:u w:val="none"/>
                <w:vertAlign w:val="baseline"/>
                <w:lang w:val="en-US" w:eastAsia="zh-CN"/>
              </w:rPr>
              <w:t>.劳动人事争议仲裁结案率</w:t>
            </w:r>
            <w:r>
              <w:rPr>
                <w:rFonts w:hint="default" w:ascii="Times New Roman" w:hAnsi="Times New Roman" w:eastAsia="宋体" w:cs="Times New Roman"/>
                <w:color w:val="000000"/>
                <w:kern w:val="2"/>
                <w:sz w:val="24"/>
                <w:szCs w:val="24"/>
                <w:highlight w:val="none"/>
                <w:u w:val="none"/>
                <w:vertAlign w:val="baseline"/>
                <w:lang w:val="en-US" w:eastAsia="zh-CN" w:bidi="ar-SA"/>
              </w:rPr>
              <w:t>（%）</w:t>
            </w:r>
          </w:p>
        </w:tc>
        <w:tc>
          <w:tcPr>
            <w:tcW w:w="1100" w:type="dxa"/>
            <w:noWrap w:val="0"/>
            <w:vAlign w:val="center"/>
          </w:tcPr>
          <w:p w14:paraId="47F87FCB">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2F3801B3">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7F713991">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0A26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6E401372">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default" w:ascii="Times New Roman" w:hAnsi="Times New Roman" w:eastAsia="宋体" w:cs="Times New Roman"/>
                <w:color w:val="000000"/>
                <w:sz w:val="24"/>
                <w:szCs w:val="24"/>
                <w:highlight w:val="none"/>
                <w:u w:val="none"/>
                <w:vertAlign w:val="baseline"/>
                <w:lang w:val="en-US" w:eastAsia="zh-CN"/>
              </w:rPr>
              <w:t>1</w:t>
            </w:r>
            <w:r>
              <w:rPr>
                <w:rFonts w:hint="eastAsia" w:ascii="Times New Roman" w:hAnsi="Times New Roman" w:cs="Times New Roman"/>
                <w:color w:val="000000"/>
                <w:sz w:val="24"/>
                <w:szCs w:val="24"/>
                <w:highlight w:val="none"/>
                <w:u w:val="none"/>
                <w:vertAlign w:val="baseline"/>
                <w:lang w:val="en-US" w:eastAsia="zh-CN"/>
              </w:rPr>
              <w:t>6</w:t>
            </w:r>
            <w:r>
              <w:rPr>
                <w:rFonts w:hint="default" w:ascii="Times New Roman" w:hAnsi="Times New Roman" w:eastAsia="宋体" w:cs="Times New Roman"/>
                <w:color w:val="000000"/>
                <w:sz w:val="24"/>
                <w:szCs w:val="24"/>
                <w:highlight w:val="none"/>
                <w:u w:val="none"/>
                <w:vertAlign w:val="baseline"/>
                <w:lang w:val="en-US" w:eastAsia="zh-CN"/>
              </w:rPr>
              <w:t>.劳动保障监察举报投诉案件结案率</w:t>
            </w:r>
          </w:p>
        </w:tc>
        <w:tc>
          <w:tcPr>
            <w:tcW w:w="1100" w:type="dxa"/>
            <w:noWrap w:val="0"/>
            <w:vAlign w:val="center"/>
          </w:tcPr>
          <w:p w14:paraId="584A255E">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p>
        </w:tc>
        <w:tc>
          <w:tcPr>
            <w:tcW w:w="1188" w:type="dxa"/>
            <w:noWrap w:val="0"/>
            <w:vAlign w:val="center"/>
          </w:tcPr>
          <w:p w14:paraId="11AE709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2900923C">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136C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6" w:type="dxa"/>
            <w:gridSpan w:val="4"/>
            <w:noWrap w:val="0"/>
            <w:vAlign w:val="center"/>
          </w:tcPr>
          <w:p w14:paraId="4688834C">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left"/>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b/>
                <w:bCs/>
                <w:color w:val="000000"/>
                <w:sz w:val="24"/>
                <w:szCs w:val="24"/>
                <w:highlight w:val="none"/>
                <w:u w:val="none"/>
                <w:vertAlign w:val="baseline"/>
                <w:lang w:eastAsia="zh-CN"/>
              </w:rPr>
              <w:t>五、公共服务</w:t>
            </w:r>
          </w:p>
        </w:tc>
      </w:tr>
      <w:tr w14:paraId="0DED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7DC59475">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default" w:ascii="Times New Roman" w:hAnsi="Times New Roman" w:eastAsia="宋体" w:cs="Times New Roman"/>
                <w:color w:val="000000"/>
                <w:sz w:val="24"/>
                <w:szCs w:val="24"/>
                <w:highlight w:val="none"/>
                <w:u w:val="none"/>
                <w:vertAlign w:val="baseline"/>
                <w:lang w:val="en-US" w:eastAsia="zh-CN"/>
              </w:rPr>
              <w:t>1</w:t>
            </w:r>
            <w:r>
              <w:rPr>
                <w:rFonts w:hint="eastAsia" w:ascii="Times New Roman" w:hAnsi="Times New Roman" w:cs="Times New Roman"/>
                <w:color w:val="000000"/>
                <w:sz w:val="24"/>
                <w:szCs w:val="24"/>
                <w:highlight w:val="none"/>
                <w:u w:val="none"/>
                <w:vertAlign w:val="baseline"/>
                <w:lang w:val="en-US" w:eastAsia="zh-CN"/>
              </w:rPr>
              <w:t>7</w:t>
            </w:r>
            <w:r>
              <w:rPr>
                <w:rFonts w:hint="default" w:ascii="Times New Roman" w:hAnsi="Times New Roman" w:eastAsia="宋体" w:cs="Times New Roman"/>
                <w:color w:val="000000"/>
                <w:sz w:val="24"/>
                <w:szCs w:val="24"/>
                <w:highlight w:val="none"/>
                <w:u w:val="none"/>
                <w:vertAlign w:val="baseline"/>
                <w:lang w:val="en-US" w:eastAsia="zh-CN"/>
              </w:rPr>
              <w:t>.社会保障卡持卡人数（亿人）</w:t>
            </w:r>
          </w:p>
        </w:tc>
        <w:tc>
          <w:tcPr>
            <w:tcW w:w="1100" w:type="dxa"/>
            <w:noWrap w:val="0"/>
            <w:vAlign w:val="center"/>
          </w:tcPr>
          <w:p w14:paraId="571A2DA2">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7595A1D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0D4D07A2">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ind w:left="0" w:leftChars="0" w:firstLine="0" w:firstLineChars="0"/>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default" w:ascii="Times New Roman" w:hAnsi="Times New Roman" w:eastAsia="宋体" w:cs="Times New Roman"/>
                <w:color w:val="000000"/>
                <w:sz w:val="24"/>
                <w:szCs w:val="24"/>
                <w:highlight w:val="none"/>
                <w:u w:val="none"/>
                <w:vertAlign w:val="baseline"/>
                <w:lang w:eastAsia="zh-CN"/>
              </w:rPr>
              <w:t>预期性</w:t>
            </w:r>
          </w:p>
        </w:tc>
      </w:tr>
      <w:tr w14:paraId="75C1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850" w:type="dxa"/>
            <w:noWrap w:val="0"/>
            <w:vAlign w:val="center"/>
          </w:tcPr>
          <w:p w14:paraId="3AA8C863">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both"/>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r>
              <w:rPr>
                <w:rFonts w:hint="eastAsia" w:ascii="Times New Roman" w:hAnsi="Times New Roman" w:cs="Times New Roman"/>
                <w:color w:val="000000"/>
                <w:sz w:val="24"/>
                <w:szCs w:val="24"/>
                <w:highlight w:val="none"/>
                <w:u w:val="none"/>
                <w:vertAlign w:val="baseline"/>
                <w:lang w:val="en-US" w:eastAsia="zh-CN"/>
              </w:rPr>
              <w:t>18.其中：申领电子社保卡人口覆盖率(%)</w:t>
            </w:r>
          </w:p>
        </w:tc>
        <w:tc>
          <w:tcPr>
            <w:tcW w:w="1100" w:type="dxa"/>
            <w:noWrap w:val="0"/>
            <w:vAlign w:val="center"/>
          </w:tcPr>
          <w:p w14:paraId="731648A0">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188" w:type="dxa"/>
            <w:noWrap w:val="0"/>
            <w:vAlign w:val="center"/>
          </w:tcPr>
          <w:p w14:paraId="0E372F73">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val="en-US" w:eastAsia="zh-CN"/>
              </w:rPr>
            </w:pPr>
          </w:p>
        </w:tc>
        <w:tc>
          <w:tcPr>
            <w:tcW w:w="1038" w:type="dxa"/>
            <w:noWrap w:val="0"/>
            <w:vAlign w:val="center"/>
          </w:tcPr>
          <w:p w14:paraId="5CA6AC4B">
            <w:pPr>
              <w:pStyle w:val="17"/>
              <w:keepNext w:val="0"/>
              <w:keepLines w:val="0"/>
              <w:pageBreakBefore w:val="0"/>
              <w:numPr>
                <w:ilvl w:val="0"/>
                <w:numId w:val="0"/>
              </w:numPr>
              <w:kinsoku/>
              <w:wordWrap/>
              <w:overflowPunct w:val="0"/>
              <w:topLinePunct w:val="0"/>
              <w:autoSpaceDE/>
              <w:autoSpaceDN/>
              <w:bidi w:val="0"/>
              <w:adjustRightInd/>
              <w:spacing w:beforeLines="0" w:beforeAutospacing="0" w:afterLines="0" w:afterAutospacing="0" w:line="240" w:lineRule="auto"/>
              <w:jc w:val="center"/>
              <w:textAlignment w:val="auto"/>
              <w:outlineLvl w:val="9"/>
              <w:rPr>
                <w:rFonts w:hint="default" w:ascii="Times New Roman" w:hAnsi="Times New Roman" w:eastAsia="宋体" w:cs="Times New Roman"/>
                <w:color w:val="000000"/>
                <w:sz w:val="24"/>
                <w:szCs w:val="24"/>
                <w:highlight w:val="none"/>
                <w:u w:val="none"/>
                <w:vertAlign w:val="baseline"/>
                <w:lang w:eastAsia="zh-CN"/>
              </w:rPr>
            </w:pPr>
            <w:r>
              <w:rPr>
                <w:rFonts w:hint="eastAsia" w:ascii="Times New Roman" w:hAnsi="Times New Roman" w:cs="Times New Roman"/>
                <w:color w:val="000000"/>
                <w:sz w:val="24"/>
                <w:szCs w:val="24"/>
                <w:highlight w:val="none"/>
                <w:u w:val="none"/>
                <w:vertAlign w:val="baseline"/>
                <w:lang w:eastAsia="zh-CN"/>
              </w:rPr>
              <w:t>预期性</w:t>
            </w:r>
          </w:p>
        </w:tc>
      </w:tr>
    </w:tbl>
    <w:p w14:paraId="2269111E">
      <w:pPr>
        <w:pStyle w:val="6"/>
        <w:numPr>
          <w:ilvl w:val="0"/>
          <w:numId w:val="0"/>
        </w:numPr>
        <w:bidi w:val="0"/>
        <w:jc w:val="both"/>
        <w:rPr>
          <w:rFonts w:hint="eastAsia" w:ascii="黑体" w:hAnsi="黑体" w:eastAsia="黑体" w:cs="黑体"/>
          <w:b w:val="0"/>
          <w:bCs/>
          <w:sz w:val="32"/>
          <w:szCs w:val="32"/>
          <w:lang w:val="en-US" w:eastAsia="zh-CN"/>
        </w:rPr>
      </w:pPr>
    </w:p>
    <w:p w14:paraId="12CC52B3">
      <w:pPr>
        <w:rPr>
          <w:rFonts w:hint="eastAsia" w:ascii="黑体" w:hAnsi="黑体" w:eastAsia="黑体" w:cs="黑体"/>
          <w:b w:val="0"/>
          <w:bCs/>
          <w:sz w:val="32"/>
          <w:szCs w:val="32"/>
          <w:lang w:val="en-US" w:eastAsia="zh-CN"/>
        </w:rPr>
      </w:pPr>
    </w:p>
    <w:p w14:paraId="7F36598B">
      <w:pPr>
        <w:pStyle w:val="2"/>
        <w:rPr>
          <w:rFonts w:hint="eastAsia" w:ascii="黑体" w:hAnsi="黑体" w:eastAsia="黑体" w:cs="黑体"/>
          <w:b w:val="0"/>
          <w:bCs/>
          <w:sz w:val="32"/>
          <w:szCs w:val="32"/>
          <w:lang w:val="en-US" w:eastAsia="zh-CN"/>
        </w:rPr>
      </w:pPr>
    </w:p>
    <w:p w14:paraId="76A1D7C2">
      <w:pPr>
        <w:pStyle w:val="4"/>
        <w:rPr>
          <w:rFonts w:hint="eastAsia"/>
          <w:lang w:val="en-US" w:eastAsia="zh-CN"/>
        </w:rPr>
      </w:pPr>
    </w:p>
    <w:p w14:paraId="01D50334">
      <w:pPr>
        <w:pStyle w:val="6"/>
        <w:numPr>
          <w:ilvl w:val="0"/>
          <w:numId w:val="0"/>
        </w:numPr>
        <w:bidi w:val="0"/>
        <w:jc w:val="center"/>
        <w:rPr>
          <w:rFonts w:hint="eastAsia" w:ascii="黑体" w:hAnsi="黑体" w:eastAsia="黑体" w:cs="黑体"/>
          <w:szCs w:val="32"/>
        </w:rPr>
      </w:pPr>
      <w:bookmarkStart w:id="13" w:name="_Toc8935"/>
      <w:r>
        <w:rPr>
          <w:rFonts w:hint="eastAsia" w:ascii="黑体" w:hAnsi="黑体" w:eastAsia="黑体" w:cs="黑体"/>
          <w:b w:val="0"/>
          <w:bCs/>
          <w:sz w:val="32"/>
          <w:szCs w:val="32"/>
          <w:lang w:val="en-US" w:eastAsia="zh-CN"/>
        </w:rPr>
        <w:t>第二章 不断提升就业服务供给水平，促进更加充分更高质量就业</w:t>
      </w:r>
      <w:bookmarkEnd w:id="13"/>
    </w:p>
    <w:p w14:paraId="16B4F642">
      <w:pPr>
        <w:ind w:firstLine="640"/>
      </w:pPr>
      <w:r>
        <w:rPr>
          <w:rFonts w:hint="eastAsia"/>
        </w:rPr>
        <w:t>实施就业优先</w:t>
      </w:r>
      <w:r>
        <w:rPr>
          <w:rFonts w:hint="eastAsia"/>
          <w:lang w:val="en-US" w:eastAsia="zh-CN"/>
        </w:rPr>
        <w:t>战略</w:t>
      </w:r>
      <w:r>
        <w:rPr>
          <w:rFonts w:hint="eastAsia"/>
        </w:rPr>
        <w:t>，健全有利于更加充分更高质量就业的促进机制，强化社会政策与就业政策衔接，大力推动大众创业、万众创新，促进以创业带动就业，实现就业规模持续扩大，就业结构更加优化，就业质量稳步提升，重点群体就业风险可控，就业局势保持稳定，覆盖城乡劳动者的公共就业创业服务体系更加健全。</w:t>
      </w:r>
    </w:p>
    <w:p w14:paraId="3E8A16B2">
      <w:pPr>
        <w:pStyle w:val="7"/>
        <w:bidi w:val="0"/>
        <w:ind w:left="0" w:leftChars="0" w:firstLine="0" w:firstLineChars="0"/>
        <w:jc w:val="center"/>
        <w:rPr>
          <w:rFonts w:hint="eastAsia" w:ascii="宋体" w:hAnsi="宋体" w:eastAsia="宋体" w:cs="宋体"/>
        </w:rPr>
      </w:pPr>
      <w:bookmarkStart w:id="14" w:name="_Toc985"/>
      <w:r>
        <w:rPr>
          <w:rFonts w:hint="eastAsia" w:ascii="宋体" w:hAnsi="宋体" w:eastAsia="宋体" w:cs="宋体"/>
        </w:rPr>
        <w:t>第一节 健全就业优先政策体系</w:t>
      </w:r>
      <w:bookmarkEnd w:id="14"/>
    </w:p>
    <w:p w14:paraId="2F383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eastAsia" w:ascii="仿宋" w:hAnsi="仿宋" w:eastAsia="仿宋" w:cs="仿宋"/>
          <w:sz w:val="32"/>
          <w:szCs w:val="32"/>
        </w:rPr>
        <w:t>“十四五”时期，要深入贯彻就业优先战略，坚持“劳动者自主择业、市场调节就业、政府促进就业、鼓励创业”的基本方针，多渠道扩大就业，努力实现更加充分更高质量就业目标。</w:t>
      </w:r>
    </w:p>
    <w:p w14:paraId="7DAA01A4">
      <w:pPr>
        <w:pStyle w:val="8"/>
        <w:bidi w:val="0"/>
        <w:rPr>
          <w:rFonts w:hint="eastAsia" w:ascii="仿宋_GB2312" w:eastAsia="仿宋_GB2312"/>
          <w:sz w:val="32"/>
          <w:szCs w:val="32"/>
        </w:rPr>
      </w:pPr>
      <w:r>
        <w:rPr>
          <w:rFonts w:hint="eastAsia"/>
        </w:rPr>
        <w:t>一、建立经济发展与就业导向相结合制度</w:t>
      </w:r>
    </w:p>
    <w:p w14:paraId="2A5B75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sz w:val="32"/>
          <w:szCs w:val="32"/>
          <w:lang w:val="en-US" w:eastAsia="zh-CN"/>
        </w:rPr>
      </w:pPr>
      <w:r>
        <w:rPr>
          <w:rFonts w:hint="eastAsia"/>
          <w:sz w:val="32"/>
          <w:szCs w:val="32"/>
          <w:lang w:val="en-US" w:eastAsia="zh-CN"/>
        </w:rPr>
        <w:t>发挥政府引导作用，</w:t>
      </w:r>
      <w:r>
        <w:rPr>
          <w:rFonts w:hint="eastAsia" w:ascii="仿宋_GB2312" w:eastAsia="仿宋_GB2312"/>
          <w:sz w:val="32"/>
          <w:szCs w:val="32"/>
        </w:rPr>
        <w:t>把促进就业作为宏观调控优先目标，</w:t>
      </w:r>
      <w:r>
        <w:rPr>
          <w:rFonts w:hint="eastAsia"/>
          <w:sz w:val="32"/>
          <w:szCs w:val="32"/>
          <w:lang w:val="en-US" w:eastAsia="zh-CN"/>
        </w:rPr>
        <w:t>实现最大限度促进充分就业的经济增长模式。</w:t>
      </w:r>
      <w:r>
        <w:rPr>
          <w:rFonts w:hint="eastAsia" w:ascii="仿宋_GB2312" w:eastAsia="仿宋_GB2312"/>
          <w:sz w:val="32"/>
          <w:szCs w:val="32"/>
        </w:rPr>
        <w:t>加强经济发展规划与就业发展的协调，建立经济发展与扩大就业联动机制。</w:t>
      </w:r>
      <w:r>
        <w:rPr>
          <w:rFonts w:hint="eastAsia"/>
          <w:sz w:val="32"/>
          <w:szCs w:val="32"/>
          <w:lang w:val="en-US" w:eastAsia="zh-CN"/>
        </w:rPr>
        <w:t>探索建立经济发展规划对就业影响的评估体系，构建经济增长和促进就业的良性循环链条。实施就业岗位创造和就业维持政策，促进和保障就业的充分性和高质量。完善就业核心指标体系，逐步建立就业质量指标体系，健全就业需求调查和失业预警监测机制。分层次、多样化设置政府就业专项资金、创业资金等，鼓励和促进企业吸纳更多就业人员。</w:t>
      </w:r>
    </w:p>
    <w:p w14:paraId="0B17DE60">
      <w:pPr>
        <w:pStyle w:val="8"/>
        <w:bidi w:val="0"/>
        <w:rPr>
          <w:rFonts w:hint="eastAsia"/>
        </w:rPr>
      </w:pPr>
      <w:r>
        <w:rPr>
          <w:rFonts w:hint="eastAsia"/>
          <w:lang w:val="en-US" w:eastAsia="zh-CN"/>
        </w:rPr>
        <w:t>二、</w:t>
      </w:r>
      <w:r>
        <w:rPr>
          <w:rFonts w:hint="eastAsia"/>
        </w:rPr>
        <w:t>优化不断扩大就业容量落实机制</w:t>
      </w:r>
    </w:p>
    <w:p w14:paraId="27823657">
      <w:pPr>
        <w:ind w:firstLine="643"/>
      </w:pPr>
      <w:r>
        <w:rPr>
          <w:rFonts w:hint="eastAsia"/>
          <w:lang w:val="en-US" w:eastAsia="zh-CN"/>
        </w:rPr>
        <w:t>着力稳定现有岗位，对不裁员少裁员的企业，加大财税、金融等政策支持。支持引导国有企业优先吸纳培训合格的技能人员就业。</w:t>
      </w:r>
      <w:r>
        <w:rPr>
          <w:rFonts w:hint="eastAsia"/>
        </w:rPr>
        <w:t>加强财政、金融等经济政策与就业政策的协同联动，</w:t>
      </w:r>
      <w:r>
        <w:rPr>
          <w:rFonts w:hint="eastAsia"/>
          <w:lang w:val="en-US" w:eastAsia="zh-CN"/>
        </w:rPr>
        <w:t>支持</w:t>
      </w:r>
      <w:r>
        <w:rPr>
          <w:rFonts w:hint="eastAsia"/>
        </w:rPr>
        <w:t>吸纳就业能力强的中小微企业、服务业和劳动密集型产业加快发展，培育就业增长极。</w:t>
      </w:r>
      <w:r>
        <w:rPr>
          <w:rFonts w:hint="eastAsia"/>
          <w:lang w:val="en-US" w:eastAsia="zh-CN"/>
        </w:rPr>
        <w:t>实施小微企业阶梯性吸纳就业补助政策。</w:t>
      </w:r>
      <w:r>
        <w:rPr>
          <w:rFonts w:hint="eastAsia"/>
        </w:rPr>
        <w:t>通过事业单位工作人员招聘、就业见习、社区服务管理人员招聘、央省属大型国企和优质民营企业招聘等方式，积极拓宽高校毕业生就业渠道。加强</w:t>
      </w:r>
      <w:r>
        <w:rPr>
          <w:rFonts w:hint="eastAsia"/>
          <w:kern w:val="0"/>
        </w:rPr>
        <w:t>市县两级</w:t>
      </w:r>
      <w:r>
        <w:rPr>
          <w:rFonts w:hint="eastAsia"/>
        </w:rPr>
        <w:t>区域合作，为农村劳动力提供就业岗位</w:t>
      </w:r>
      <w:r>
        <w:rPr>
          <w:rFonts w:hint="eastAsia"/>
          <w:lang w:eastAsia="zh-CN"/>
        </w:rPr>
        <w:t>。</w:t>
      </w:r>
      <w:r>
        <w:rPr>
          <w:rFonts w:hint="eastAsia"/>
        </w:rPr>
        <w:t>积极拓宽农村劳动力就地就近就业、外出就业和返乡创业渠道。</w:t>
      </w:r>
      <w:r>
        <w:rPr>
          <w:rFonts w:hint="eastAsia"/>
          <w:lang w:val="en-US" w:eastAsia="zh-CN"/>
        </w:rPr>
        <w:t>加大新型职业农民培训力度。</w:t>
      </w:r>
      <w:r>
        <w:rPr>
          <w:rFonts w:hint="eastAsia"/>
        </w:rPr>
        <w:t>大力发展地摊经济，开辟自由市场、摊点群、夜市等经营网点，扩宽灵活就业渠道。全力做好退役军人就业安置工作。</w:t>
      </w:r>
    </w:p>
    <w:p w14:paraId="04D6FED3">
      <w:pPr>
        <w:pStyle w:val="13"/>
        <w:numPr>
          <w:ilvl w:val="0"/>
          <w:numId w:val="0"/>
        </w:numPr>
      </w:pPr>
    </w:p>
    <w:p w14:paraId="2DB09790">
      <w:pPr>
        <w:pStyle w:val="8"/>
        <w:bidi w:val="0"/>
        <w:rPr>
          <w:rFonts w:hint="default"/>
          <w:highlight w:val="cyan"/>
          <w:lang w:val="en-US" w:eastAsia="zh-CN"/>
        </w:rPr>
      </w:pPr>
      <w:r>
        <w:rPr>
          <w:rFonts w:hint="eastAsia"/>
          <w:highlight w:val="none"/>
          <w:lang w:val="en-US" w:eastAsia="zh-CN"/>
        </w:rPr>
        <w:t>三、完善大力提升就业质量服务体系</w:t>
      </w:r>
    </w:p>
    <w:p w14:paraId="723B508C">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580" w:lineRule="exact"/>
        <w:ind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健全覆盖全民、贯穿全程、辐射全域、便捷高效的全方位公共就业服务体系。</w:t>
      </w:r>
      <w:r>
        <w:rPr>
          <w:rFonts w:hint="eastAsia" w:ascii="Times New Roman" w:hAnsi="Times New Roman" w:cs="Times New Roman"/>
          <w:kern w:val="2"/>
          <w:sz w:val="32"/>
          <w:szCs w:val="32"/>
          <w:lang w:val="en-US" w:eastAsia="zh-CN" w:bidi="ar-SA"/>
        </w:rPr>
        <w:t>完</w:t>
      </w:r>
      <w:r>
        <w:rPr>
          <w:rFonts w:hint="eastAsia"/>
        </w:rPr>
        <w:t>善公共就业服务标准体系，充实公共就业服务内容，规范服务流程和服务要点，针对各类用工单位和不同劳动者的特点和需求，提供更加适合时代特点、更贴近劳动者与用工单位需求的精细化公共服务。</w:t>
      </w:r>
      <w:r>
        <w:rPr>
          <w:rFonts w:hint="default" w:ascii="Times New Roman" w:hAnsi="Times New Roman" w:eastAsia="仿宋_GB2312" w:cs="Times New Roman"/>
          <w:kern w:val="2"/>
          <w:sz w:val="32"/>
          <w:szCs w:val="32"/>
          <w:lang w:val="en-US" w:eastAsia="zh-CN" w:bidi="ar-SA"/>
        </w:rPr>
        <w:t>提升城镇公共就业服务能力，加强农村地区公共就业服务体系建设，开展公共就业创业服务示范城市</w:t>
      </w:r>
      <w:r>
        <w:rPr>
          <w:rFonts w:hint="eastAsia" w:ascii="Times New Roman" w:hAnsi="Times New Roman" w:eastAsia="仿宋_GB2312" w:cs="Times New Roman"/>
          <w:kern w:val="2"/>
          <w:sz w:val="32"/>
          <w:szCs w:val="32"/>
          <w:lang w:val="en-US" w:eastAsia="zh-CN" w:bidi="ar-SA"/>
        </w:rPr>
        <w:t>、农村劳动力转移就业示范县</w:t>
      </w:r>
      <w:r>
        <w:rPr>
          <w:rFonts w:hint="default" w:ascii="Times New Roman" w:hAnsi="Times New Roman" w:eastAsia="仿宋_GB2312" w:cs="Times New Roman"/>
          <w:kern w:val="2"/>
          <w:sz w:val="32"/>
          <w:szCs w:val="32"/>
          <w:lang w:val="en-US" w:eastAsia="zh-CN" w:bidi="ar-SA"/>
        </w:rPr>
        <w:t>和充分就业社区建设。</w:t>
      </w:r>
      <w:r>
        <w:rPr>
          <w:rFonts w:hint="eastAsia" w:ascii="Times New Roman" w:hAnsi="Times New Roman" w:eastAsia="仿宋_GB2312" w:cs="Times New Roman"/>
          <w:kern w:val="2"/>
          <w:sz w:val="32"/>
          <w:szCs w:val="32"/>
          <w:lang w:val="en-US" w:eastAsia="zh-CN" w:bidi="ar-SA"/>
        </w:rPr>
        <w:t>推进就业实名制</w:t>
      </w:r>
      <w:r>
        <w:rPr>
          <w:rFonts w:hint="eastAsia" w:ascii="Times New Roman" w:hAnsi="Times New Roman" w:cs="Times New Roman"/>
          <w:kern w:val="2"/>
          <w:sz w:val="32"/>
          <w:szCs w:val="32"/>
          <w:lang w:val="en-US" w:eastAsia="zh-CN" w:bidi="ar-SA"/>
        </w:rPr>
        <w:t>，</w:t>
      </w:r>
      <w:r>
        <w:rPr>
          <w:rFonts w:hint="eastAsia"/>
        </w:rPr>
        <w:t>做好劳动者基础信息采集工作</w:t>
      </w:r>
      <w:r>
        <w:rPr>
          <w:rFonts w:hint="eastAsia"/>
          <w:lang w:eastAsia="zh-CN"/>
        </w:rPr>
        <w:t>，</w:t>
      </w:r>
      <w:r>
        <w:rPr>
          <w:rFonts w:hint="eastAsia"/>
        </w:rPr>
        <w:t>完善全市劳动力建档立卡，</w:t>
      </w:r>
      <w:r>
        <w:rPr>
          <w:rFonts w:hint="default" w:ascii="Times New Roman" w:hAnsi="Times New Roman" w:eastAsia="仿宋_GB2312" w:cs="Times New Roman"/>
          <w:kern w:val="2"/>
          <w:sz w:val="32"/>
          <w:szCs w:val="32"/>
          <w:lang w:val="en-US" w:eastAsia="zh-CN" w:bidi="ar-SA"/>
        </w:rPr>
        <w:t>构建精准识别、精细分类、专业指导的公共就业服务模式，</w:t>
      </w:r>
      <w:r>
        <w:rPr>
          <w:rFonts w:hint="eastAsia" w:ascii="Times New Roman" w:hAnsi="Times New Roman" w:eastAsia="仿宋_GB2312" w:cs="Times New Roman"/>
          <w:kern w:val="2"/>
          <w:sz w:val="32"/>
          <w:szCs w:val="32"/>
          <w:lang w:val="en-US" w:eastAsia="zh-CN" w:bidi="ar-SA"/>
        </w:rPr>
        <w:t>为</w:t>
      </w:r>
      <w:r>
        <w:rPr>
          <w:rFonts w:hint="default" w:ascii="Times New Roman" w:hAnsi="Times New Roman" w:eastAsia="仿宋_GB2312" w:cs="Times New Roman"/>
          <w:kern w:val="2"/>
          <w:sz w:val="32"/>
          <w:szCs w:val="32"/>
          <w:lang w:val="en-US" w:eastAsia="zh-CN" w:bidi="ar-SA"/>
        </w:rPr>
        <w:t>服务对象提供个性化服务。鼓励引导社会力量广泛深入参与就业服务，推进公共就业服务机构与社会民营机构的合作，探索建立就业指导专家等志愿者团队，为服务对象提供专业化服务。</w:t>
      </w:r>
    </w:p>
    <w:p w14:paraId="5BA3FCF5">
      <w:pPr>
        <w:pStyle w:val="13"/>
        <w:numPr>
          <w:ilvl w:val="0"/>
          <w:numId w:val="0"/>
        </w:numPr>
        <w:ind w:leftChars="200"/>
      </w:pPr>
    </w:p>
    <w:p w14:paraId="7AA09ADF">
      <w:pPr>
        <w:pStyle w:val="7"/>
        <w:bidi w:val="0"/>
        <w:ind w:left="0" w:leftChars="0" w:firstLine="0" w:firstLineChars="0"/>
        <w:jc w:val="center"/>
        <w:rPr>
          <w:rFonts w:hint="eastAsia"/>
          <w:lang w:val="en-US" w:eastAsia="zh-CN"/>
        </w:rPr>
      </w:pPr>
      <w:bookmarkStart w:id="15" w:name="_Toc12782"/>
      <w:r>
        <w:rPr>
          <w:rFonts w:hint="eastAsia" w:ascii="宋体" w:hAnsi="宋体" w:eastAsia="宋体" w:cs="宋体"/>
        </w:rPr>
        <w:t>第</w:t>
      </w:r>
      <w:r>
        <w:rPr>
          <w:rFonts w:hint="eastAsia" w:ascii="宋体" w:hAnsi="宋体" w:eastAsia="宋体" w:cs="宋体"/>
          <w:lang w:val="en-US" w:eastAsia="zh-CN"/>
        </w:rPr>
        <w:t>二</w:t>
      </w:r>
      <w:r>
        <w:rPr>
          <w:rFonts w:hint="eastAsia" w:ascii="宋体" w:hAnsi="宋体" w:eastAsia="宋体" w:cs="宋体"/>
        </w:rPr>
        <w:t>节 统筹做好重点群体就业</w:t>
      </w:r>
      <w:bookmarkEnd w:id="15"/>
    </w:p>
    <w:p w14:paraId="45D9404E">
      <w:pPr>
        <w:pStyle w:val="8"/>
        <w:bidi w:val="0"/>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拓宽就业渠道</w:t>
      </w:r>
      <w:r>
        <w:rPr>
          <w:rFonts w:hint="eastAsia" w:ascii="Times New Roman" w:hAnsi="Times New Roman" w:cs="Times New Roman"/>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强化平等就业服务</w:t>
      </w:r>
      <w:r>
        <w:rPr>
          <w:rFonts w:hint="eastAsia" w:ascii="Times New Roman" w:hAnsi="Times New Roman" w:cs="Times New Roman"/>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健全困难群体就业援助制度，</w:t>
      </w:r>
      <w:r>
        <w:rPr>
          <w:rFonts w:hint="eastAsia" w:ascii="Times New Roman" w:hAnsi="Times New Roman" w:cs="Times New Roman"/>
          <w:b w:val="0"/>
          <w:kern w:val="2"/>
          <w:sz w:val="32"/>
          <w:szCs w:val="32"/>
          <w:lang w:val="en-US" w:eastAsia="zh-CN" w:bidi="ar-SA"/>
        </w:rPr>
        <w:t>持续做好重点群体就业工作，保障社会和谐稳定。</w:t>
      </w:r>
    </w:p>
    <w:p w14:paraId="5EDA6C46">
      <w:pPr>
        <w:pStyle w:val="8"/>
        <w:bidi w:val="0"/>
        <w:rPr>
          <w:rFonts w:hint="eastAsia"/>
          <w:lang w:val="en-US" w:eastAsia="zh-CN"/>
        </w:rPr>
      </w:pPr>
      <w:r>
        <w:rPr>
          <w:rFonts w:hint="eastAsia"/>
          <w:lang w:val="en-US" w:eastAsia="zh-CN"/>
        </w:rPr>
        <w:t>一、多措并举推动高校毕业生就业</w:t>
      </w:r>
    </w:p>
    <w:p w14:paraId="14598B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rPr>
      </w:pPr>
      <w:r>
        <w:rPr>
          <w:rFonts w:hint="eastAsia"/>
          <w:sz w:val="32"/>
          <w:szCs w:val="32"/>
          <w:lang w:val="en-US" w:eastAsia="zh-CN"/>
        </w:rPr>
        <w:t>拓展企业就业主渠道，</w:t>
      </w:r>
      <w:r>
        <w:rPr>
          <w:rFonts w:hint="eastAsia" w:ascii="仿宋_GB2312" w:eastAsia="仿宋_GB2312"/>
          <w:sz w:val="32"/>
          <w:szCs w:val="32"/>
        </w:rPr>
        <w:t>结合产业转型升级</w:t>
      </w:r>
      <w:r>
        <w:rPr>
          <w:rFonts w:hint="eastAsia"/>
          <w:sz w:val="32"/>
          <w:szCs w:val="32"/>
          <w:lang w:val="en-US" w:eastAsia="zh-CN"/>
        </w:rPr>
        <w:t>发展目标，有针对性地</w:t>
      </w:r>
      <w:r>
        <w:rPr>
          <w:rFonts w:hint="eastAsia" w:ascii="仿宋_GB2312" w:eastAsia="仿宋_GB2312"/>
          <w:sz w:val="32"/>
          <w:szCs w:val="32"/>
        </w:rPr>
        <w:t>开发更多适合高校毕业生的就业岗位</w:t>
      </w:r>
      <w:r>
        <w:rPr>
          <w:rFonts w:hint="eastAsia"/>
          <w:sz w:val="32"/>
          <w:szCs w:val="32"/>
          <w:lang w:eastAsia="zh-CN"/>
        </w:rPr>
        <w:t>。</w:t>
      </w:r>
      <w:r>
        <w:rPr>
          <w:rFonts w:hint="eastAsia" w:ascii="仿宋_GB2312" w:eastAsia="仿宋_GB2312"/>
          <w:sz w:val="32"/>
          <w:szCs w:val="32"/>
        </w:rPr>
        <w:t>健全高校毕业生到基层工作的服务保障机制，鼓励通过政府购买服务方式，引导高校毕业生到街道（乡镇）、社区（村）从事基层社会服务管理工作。积极开展创业意识培训和创办企业培训，加大资金保障力度，倾斜创业服务资源，支持毕业生个体经营、非全日制就业和平台就业。常态化开展线上招聘，开展高校毕业生就业云服务活动，增强线下服务品质，搭建便捷高效的求职招聘通道。</w:t>
      </w:r>
      <w:r>
        <w:rPr>
          <w:rFonts w:hint="eastAsia"/>
          <w:sz w:val="32"/>
          <w:szCs w:val="32"/>
          <w:lang w:val="en-US" w:eastAsia="zh-CN"/>
        </w:rPr>
        <w:t>加大高校大学生职业技能培训。积极拓展就业见习，多渠道募集间隙岗位，制定见习单位目录和岗位清单，推进见习规范管理。扎好做好低收入家庭、零就业家庭、残疾等毕业生实施专项帮扶。加快跟进实名服务，对离校未就业毕业生登记到位、联系到位、帮扶到位，确保就业服务不断线。加大高校毕业生就业权益保护，加强用人单位和人力资源服务机构招聘行为监管，开展权益保护专题宣传，营造良好就业环境。</w:t>
      </w:r>
    </w:p>
    <w:p w14:paraId="75DAF9AF">
      <w:pPr>
        <w:pStyle w:val="8"/>
        <w:bidi w:val="0"/>
        <w:rPr>
          <w:rFonts w:hint="eastAsia"/>
        </w:rPr>
      </w:pPr>
      <w:r>
        <w:rPr>
          <w:rFonts w:hint="eastAsia"/>
          <w:lang w:val="en-US" w:eastAsia="zh-CN"/>
        </w:rPr>
        <w:t>二、</w:t>
      </w:r>
      <w:r>
        <w:rPr>
          <w:rFonts w:hint="eastAsia"/>
        </w:rPr>
        <w:t>扎实推进农民工稳就业</w:t>
      </w:r>
    </w:p>
    <w:p w14:paraId="217142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rPr>
        <w:t>坚持统筹城乡就业，建立健全城乡劳动者平等就业制度，促进农村富余劳动力转移就业</w:t>
      </w:r>
      <w:r>
        <w:rPr>
          <w:rFonts w:hint="eastAsia"/>
          <w:sz w:val="32"/>
          <w:szCs w:val="32"/>
          <w:lang w:eastAsia="zh-CN"/>
        </w:rPr>
        <w:t>。</w:t>
      </w:r>
      <w:r>
        <w:rPr>
          <w:rFonts w:hint="eastAsia"/>
          <w:sz w:val="32"/>
          <w:szCs w:val="32"/>
          <w:lang w:val="en-US" w:eastAsia="zh-CN"/>
        </w:rPr>
        <w:t>深入</w:t>
      </w:r>
      <w:r>
        <w:rPr>
          <w:rFonts w:hint="eastAsia" w:ascii="仿宋_GB2312" w:eastAsia="仿宋_GB2312"/>
          <w:sz w:val="32"/>
          <w:szCs w:val="32"/>
        </w:rPr>
        <w:t>落实农民工在常住地进行失业登记</w:t>
      </w:r>
      <w:r>
        <w:rPr>
          <w:rFonts w:hint="eastAsia"/>
          <w:sz w:val="32"/>
          <w:szCs w:val="32"/>
          <w:lang w:val="en-US" w:eastAsia="zh-CN"/>
        </w:rPr>
        <w:t>制度</w:t>
      </w:r>
      <w:r>
        <w:rPr>
          <w:rFonts w:hint="eastAsia" w:ascii="仿宋_GB2312" w:eastAsia="仿宋_GB2312"/>
          <w:sz w:val="32"/>
          <w:szCs w:val="32"/>
        </w:rPr>
        <w:t>，提供全方位公共就业服务和创业服务，支持农民工和农民企业家返乡创业。</w:t>
      </w:r>
      <w:r>
        <w:rPr>
          <w:rFonts w:hint="eastAsia" w:ascii="仿宋_GB2312" w:eastAsia="仿宋_GB2312"/>
          <w:sz w:val="32"/>
          <w:szCs w:val="32"/>
          <w:lang w:val="en-US" w:eastAsia="zh-CN"/>
        </w:rPr>
        <w:t>巩固</w:t>
      </w:r>
      <w:r>
        <w:rPr>
          <w:rFonts w:hint="eastAsia" w:ascii="仿宋_GB2312" w:eastAsia="仿宋_GB2312"/>
          <w:sz w:val="32"/>
          <w:szCs w:val="32"/>
        </w:rPr>
        <w:t>就业脱贫</w:t>
      </w:r>
      <w:r>
        <w:rPr>
          <w:rFonts w:hint="eastAsia" w:ascii="仿宋_GB2312" w:eastAsia="仿宋_GB2312"/>
          <w:sz w:val="32"/>
          <w:szCs w:val="32"/>
          <w:lang w:val="en-US" w:eastAsia="zh-CN"/>
        </w:rPr>
        <w:t>成果</w:t>
      </w:r>
      <w:r>
        <w:rPr>
          <w:rFonts w:hint="eastAsia" w:ascii="仿宋_GB2312" w:eastAsia="仿宋_GB2312"/>
          <w:sz w:val="32"/>
          <w:szCs w:val="32"/>
        </w:rPr>
        <w:t>，</w:t>
      </w:r>
      <w:r>
        <w:rPr>
          <w:rFonts w:hint="eastAsia" w:ascii="仿宋_GB2312" w:eastAsia="仿宋_GB2312"/>
          <w:sz w:val="32"/>
          <w:szCs w:val="32"/>
          <w:lang w:val="en-US" w:eastAsia="zh-CN"/>
        </w:rPr>
        <w:t>健全防止返贫动态监测和帮扶机制，促进脱贫人口稳定就业。持续加大技能培训力度，发展壮大脱贫地区产业。着力做好易地搬迁后续扶持，分层分类加强对农村低收入人口常态化帮扶，确保不发生规模性返贫。巩固和</w:t>
      </w:r>
      <w:r>
        <w:rPr>
          <w:rFonts w:hint="eastAsia" w:ascii="仿宋_GB2312" w:eastAsia="仿宋_GB2312"/>
          <w:sz w:val="32"/>
          <w:szCs w:val="32"/>
        </w:rPr>
        <w:t>完善</w:t>
      </w:r>
      <w:r>
        <w:rPr>
          <w:rFonts w:hint="eastAsia" w:ascii="仿宋_GB2312" w:eastAsia="仿宋_GB2312"/>
          <w:sz w:val="32"/>
          <w:szCs w:val="32"/>
          <w:lang w:val="en-US" w:eastAsia="zh-CN"/>
        </w:rPr>
        <w:t>脱贫</w:t>
      </w:r>
      <w:r>
        <w:rPr>
          <w:rFonts w:hint="eastAsia" w:ascii="仿宋_GB2312" w:eastAsia="仿宋_GB2312"/>
          <w:sz w:val="32"/>
          <w:szCs w:val="32"/>
        </w:rPr>
        <w:t>地区输出输入劳务对接机制，加强劳务协作基地和劳务品牌建设。</w:t>
      </w:r>
    </w:p>
    <w:p w14:paraId="6AE5EA24">
      <w:pPr>
        <w:pStyle w:val="8"/>
        <w:bidi w:val="0"/>
        <w:rPr>
          <w:rFonts w:hint="eastAsia"/>
          <w:lang w:val="en-US" w:eastAsia="zh-CN"/>
        </w:rPr>
      </w:pPr>
      <w:r>
        <w:rPr>
          <w:rFonts w:hint="eastAsia"/>
          <w:lang w:val="en-US" w:eastAsia="zh-CN"/>
        </w:rPr>
        <w:t>三、着力保障困难群体就业</w:t>
      </w:r>
    </w:p>
    <w:p w14:paraId="5BF1EE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rPr>
        <w:t>完善就业援助制度，加大对</w:t>
      </w:r>
      <w:r>
        <w:rPr>
          <w:rFonts w:hint="eastAsia"/>
          <w:sz w:val="32"/>
          <w:szCs w:val="32"/>
          <w:lang w:val="en-US" w:eastAsia="zh-CN"/>
        </w:rPr>
        <w:t>残疾人、零就业家庭成员等</w:t>
      </w:r>
      <w:r>
        <w:rPr>
          <w:rFonts w:hint="eastAsia" w:ascii="仿宋_GB2312" w:eastAsia="仿宋_GB2312"/>
          <w:sz w:val="32"/>
          <w:szCs w:val="32"/>
        </w:rPr>
        <w:t>就业困难人员帮扶力度</w:t>
      </w:r>
      <w:r>
        <w:rPr>
          <w:rFonts w:hint="eastAsia"/>
          <w:sz w:val="32"/>
          <w:szCs w:val="32"/>
          <w:lang w:eastAsia="zh-CN"/>
        </w:rPr>
        <w:t>，</w:t>
      </w:r>
      <w:r>
        <w:rPr>
          <w:rFonts w:hint="eastAsia"/>
          <w:sz w:val="32"/>
          <w:szCs w:val="32"/>
          <w:lang w:val="en-US" w:eastAsia="zh-CN"/>
        </w:rPr>
        <w:t>促进“零就业”家庭动态消零</w:t>
      </w:r>
      <w:r>
        <w:rPr>
          <w:rFonts w:hint="eastAsia"/>
          <w:sz w:val="32"/>
          <w:szCs w:val="32"/>
          <w:lang w:eastAsia="zh-CN"/>
        </w:rPr>
        <w:t>。</w:t>
      </w:r>
      <w:r>
        <w:rPr>
          <w:rFonts w:hint="eastAsia" w:ascii="仿宋_GB2312" w:eastAsia="仿宋_GB2312"/>
          <w:sz w:val="32"/>
          <w:szCs w:val="32"/>
        </w:rPr>
        <w:t>严格就业困难人员认定管理，对就业困难人员实行实名制动态管理和分类帮扶，确保零就业、最低生活保障等困难家庭至少一人就业。规范公益性岗位的开发和管理，研究制定就业困难人员享受扶持政策期满后的援助办法。加强妇女、退役士兵、残疾人等群体就业工作。</w:t>
      </w:r>
      <w:r>
        <w:rPr>
          <w:rFonts w:hint="eastAsia"/>
          <w:sz w:val="32"/>
          <w:szCs w:val="32"/>
          <w:lang w:val="en-US" w:eastAsia="zh-CN"/>
        </w:rPr>
        <w:t>实行精准帮扶计划，每县（市、区）选取3-5个，失业人员或就业困难人员较多、基层平台建设相对薄弱的重点社区（村），开展充分就业帮扶行动。对社区（村）内失业人员、就业困难人员、零就业家庭成员等重点群体开展“131”服务，至少提供1次职业指导、3个适合的岗位信息、1个培训项目，促进劳动者充分就业。</w:t>
      </w:r>
    </w:p>
    <w:p w14:paraId="3DE37BFB">
      <w:pPr>
        <w:pStyle w:val="7"/>
        <w:bidi w:val="0"/>
        <w:ind w:left="0" w:leftChars="0" w:firstLine="0" w:firstLineChars="0"/>
        <w:jc w:val="center"/>
        <w:rPr>
          <w:rFonts w:hint="eastAsia" w:ascii="宋体" w:hAnsi="宋体" w:eastAsia="宋体" w:cs="宋体"/>
        </w:rPr>
      </w:pPr>
      <w:bookmarkStart w:id="16" w:name="_Toc3744"/>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节 促进创业带动就业</w:t>
      </w:r>
      <w:bookmarkEnd w:id="16"/>
    </w:p>
    <w:p w14:paraId="6C31D8F3">
      <w:pPr>
        <w:pStyle w:val="8"/>
        <w:bidi w:val="0"/>
        <w:rPr>
          <w:rFonts w:hint="default" w:ascii="仿宋_GB2312" w:hAnsi="仿宋_GB2312" w:eastAsia="仿宋_GB2312" w:cs="Times New Roman"/>
          <w:b w:val="0"/>
          <w:kern w:val="2"/>
          <w:sz w:val="32"/>
          <w:szCs w:val="32"/>
          <w:lang w:val="en-US" w:eastAsia="zh-CN" w:bidi="ar-SA"/>
        </w:rPr>
      </w:pPr>
      <w:bookmarkStart w:id="17" w:name="_Hlk62323257"/>
      <w:r>
        <w:rPr>
          <w:rFonts w:hint="eastAsia" w:cs="Times New Roman"/>
          <w:b w:val="0"/>
          <w:kern w:val="2"/>
          <w:sz w:val="32"/>
          <w:szCs w:val="32"/>
          <w:lang w:val="en-US" w:eastAsia="zh-CN" w:bidi="ar-SA"/>
        </w:rPr>
        <w:t>完善促进创业带动就业政策体系，加强多渠道灵活就业保障制度建设，</w:t>
      </w:r>
      <w:r>
        <w:rPr>
          <w:rFonts w:hint="eastAsia" w:ascii="仿宋_GB2312" w:hAnsi="仿宋_GB2312" w:eastAsia="仿宋_GB2312" w:cs="Times New Roman"/>
          <w:b w:val="0"/>
          <w:kern w:val="2"/>
          <w:sz w:val="32"/>
          <w:szCs w:val="32"/>
          <w:lang w:val="en-US" w:eastAsia="zh-CN" w:bidi="ar-SA"/>
        </w:rPr>
        <w:t>激发市场主体</w:t>
      </w:r>
      <w:r>
        <w:rPr>
          <w:rFonts w:hint="eastAsia" w:cs="Times New Roman"/>
          <w:b w:val="0"/>
          <w:kern w:val="2"/>
          <w:sz w:val="32"/>
          <w:szCs w:val="32"/>
          <w:lang w:val="en-US" w:eastAsia="zh-CN" w:bidi="ar-SA"/>
        </w:rPr>
        <w:t>创新创业</w:t>
      </w:r>
      <w:r>
        <w:rPr>
          <w:rFonts w:hint="eastAsia" w:ascii="仿宋_GB2312" w:hAnsi="仿宋_GB2312" w:eastAsia="仿宋_GB2312" w:cs="Times New Roman"/>
          <w:b w:val="0"/>
          <w:kern w:val="2"/>
          <w:sz w:val="32"/>
          <w:szCs w:val="32"/>
          <w:lang w:val="en-US" w:eastAsia="zh-CN" w:bidi="ar-SA"/>
        </w:rPr>
        <w:t>活力，</w:t>
      </w:r>
      <w:r>
        <w:rPr>
          <w:rFonts w:hint="eastAsia" w:cs="Times New Roman"/>
          <w:b w:val="0"/>
          <w:kern w:val="2"/>
          <w:sz w:val="32"/>
          <w:szCs w:val="32"/>
          <w:lang w:val="en-US" w:eastAsia="zh-CN" w:bidi="ar-SA"/>
        </w:rPr>
        <w:t>在扩大有效需求中实现就业稳定增长和高质量发展。</w:t>
      </w:r>
    </w:p>
    <w:p w14:paraId="49DEE26D">
      <w:pPr>
        <w:pStyle w:val="8"/>
        <w:bidi w:val="0"/>
        <w:rPr>
          <w:rFonts w:hint="eastAsia"/>
        </w:rPr>
      </w:pPr>
      <w:r>
        <w:rPr>
          <w:rFonts w:hint="eastAsia"/>
        </w:rPr>
        <w:t>一、加强创业孵化载体建设</w:t>
      </w:r>
    </w:p>
    <w:p w14:paraId="2A3BAA26">
      <w:pPr>
        <w:spacing w:line="600" w:lineRule="exact"/>
        <w:rPr>
          <w:rFonts w:ascii="仿宋" w:hAnsi="仿宋" w:eastAsia="仿宋" w:cs="仿宋"/>
          <w:szCs w:val="32"/>
        </w:rPr>
      </w:pPr>
      <w:r>
        <w:rPr>
          <w:rFonts w:hint="eastAsia"/>
          <w:sz w:val="32"/>
          <w:szCs w:val="32"/>
          <w:lang w:val="en-US" w:eastAsia="zh-CN"/>
        </w:rPr>
        <w:t>持续</w:t>
      </w:r>
      <w:r>
        <w:rPr>
          <w:rFonts w:hint="eastAsia"/>
          <w:lang w:val="en-US" w:eastAsia="zh-CN"/>
        </w:rPr>
        <w:t>开展创业孵化基地、创业示范园区评选活动，进一步加大对创业孵化载体投入力度。</w:t>
      </w:r>
      <w:r>
        <w:rPr>
          <w:rFonts w:hint="eastAsia" w:ascii="仿宋" w:hAnsi="仿宋" w:eastAsia="仿宋" w:cs="仿宋"/>
          <w:szCs w:val="32"/>
          <w:lang w:val="en-US" w:eastAsia="zh-CN"/>
        </w:rPr>
        <w:t>聚焦“六新”</w:t>
      </w:r>
      <w:r>
        <w:rPr>
          <w:rFonts w:hint="eastAsia" w:ascii="仿宋" w:hAnsi="仿宋" w:eastAsia="仿宋" w:cs="仿宋"/>
          <w:szCs w:val="32"/>
        </w:rPr>
        <w:t>，建设 2-3 家优势突出、资源集聚、服务齐全、机制创新，具有国际影响力、集聚力的国内外科技企业孵化器，汇聚一批高水平科技创业项目，合作建设一批孵化基地。引进专业服务机构，搭建专业公共技术服务平台，提升孵化服务质量和水平。大力发展“创业导师+专业孵化+天使投资”的孵化模式</w:t>
      </w:r>
      <w:r>
        <w:rPr>
          <w:rFonts w:hint="eastAsia" w:ascii="仿宋" w:hAnsi="仿宋" w:eastAsia="仿宋" w:cs="仿宋"/>
          <w:szCs w:val="32"/>
          <w:lang w:eastAsia="zh-CN"/>
        </w:rPr>
        <w:t>。</w:t>
      </w:r>
      <w:r>
        <w:rPr>
          <w:rFonts w:hint="eastAsia" w:ascii="仿宋" w:hAnsi="仿宋" w:eastAsia="仿宋" w:cs="仿宋"/>
          <w:szCs w:val="32"/>
        </w:rPr>
        <w:t>鼓励孵化器以自有资金配套支持创业导师工作。建立创客联盟，推动信息共享、服务共享，提高孵化服务水平。综合运用税收、奖励、土地、信贷等激励政策，积极稳妥发展众创、众筹、众包、众扶和虚拟创新创业社区等新模式，建设一批专业化、新型化孵化组织，打造一批创客空间和创新工场。实行市级众创空间和科技企业孵化器备案制，鼓励和支持企事业单位、高校院所、风险投资机构等投资建设科技企业孵化器。支持各类小微企业开展“双创”合作。</w:t>
      </w:r>
    </w:p>
    <w:bookmarkEnd w:id="17"/>
    <w:p w14:paraId="55E4F8F8">
      <w:pPr>
        <w:pStyle w:val="8"/>
        <w:bidi w:val="0"/>
        <w:rPr>
          <w:rFonts w:hint="eastAsia"/>
        </w:rPr>
      </w:pPr>
      <w:r>
        <w:rPr>
          <w:rFonts w:hint="eastAsia"/>
          <w:lang w:val="en-US" w:eastAsia="zh-CN"/>
        </w:rPr>
        <w:t>二、</w:t>
      </w:r>
      <w:r>
        <w:rPr>
          <w:rFonts w:hint="eastAsia"/>
        </w:rPr>
        <w:t>支持和规范发展新就业形态</w:t>
      </w:r>
    </w:p>
    <w:p w14:paraId="3E003E72">
      <w:pPr>
        <w:ind w:firstLine="643"/>
        <w:rPr>
          <w:rFonts w:ascii="Times New Roman" w:hAnsi="Times New Roman"/>
        </w:rPr>
      </w:pPr>
      <w:r>
        <w:rPr>
          <w:rFonts w:hint="eastAsia"/>
        </w:rPr>
        <w:t>通过落实吸纳就业补助、创业补贴、税费扣减、培训补贴等政策，鼓励劳动者通过新零售、直播+、文旅融合、智慧生活、智慧教育、跨境电商等新业态新模式开展各类就业创业活动。</w:t>
      </w:r>
      <w:r>
        <w:rPr>
          <w:rFonts w:hAnsi="Times New Roman"/>
        </w:rPr>
        <w:t>鼓励</w:t>
      </w:r>
      <w:r>
        <w:rPr>
          <w:rFonts w:hint="eastAsia" w:hAnsi="Times New Roman"/>
        </w:rPr>
        <w:t>开展</w:t>
      </w:r>
      <w:r>
        <w:rPr>
          <w:rFonts w:hint="eastAsia" w:hAnsi="Times New Roman"/>
          <w:lang w:val="en-US" w:eastAsia="zh-CN"/>
        </w:rPr>
        <w:t>新</w:t>
      </w:r>
      <w:r>
        <w:rPr>
          <w:rFonts w:hAnsi="Times New Roman"/>
        </w:rPr>
        <w:t>个体经营，增加</w:t>
      </w:r>
      <w:r>
        <w:rPr>
          <w:rFonts w:hint="eastAsia"/>
        </w:rPr>
        <w:t>分时就业、兼职就业机会</w:t>
      </w:r>
      <w:r>
        <w:rPr>
          <w:rFonts w:hAnsi="Times New Roman"/>
        </w:rPr>
        <w:t>，支持和规范发展新就业形态，清理取消不合理限制灵活就业的规定。</w:t>
      </w:r>
      <w:r>
        <w:rPr>
          <w:rFonts w:hint="eastAsia" w:hAnsi="Times New Roman"/>
        </w:rPr>
        <w:t>推进新就业形态技能提升和就业促进项目，</w:t>
      </w:r>
      <w:r>
        <w:rPr>
          <w:rFonts w:hint="eastAsia"/>
        </w:rPr>
        <w:t>做好“互联网营销师”、“直播销售员”等新兴职业的培养与认定工作，不断提升从业人员职业能力和素养。</w:t>
      </w:r>
      <w:r>
        <w:rPr>
          <w:rFonts w:hAnsi="Times New Roman"/>
        </w:rPr>
        <w:t>强化对灵活就业人员就业服务，加快完善</w:t>
      </w:r>
      <w:r>
        <w:rPr>
          <w:rFonts w:hint="eastAsia" w:hAnsi="Times New Roman"/>
          <w:lang w:val="en-US" w:eastAsia="zh-CN"/>
        </w:rPr>
        <w:t>基本权益</w:t>
      </w:r>
      <w:r>
        <w:rPr>
          <w:rFonts w:hAnsi="Times New Roman"/>
        </w:rPr>
        <w:t>保障制度。</w:t>
      </w:r>
    </w:p>
    <w:p w14:paraId="7BADEE8F">
      <w:pPr>
        <w:pStyle w:val="8"/>
        <w:bidi w:val="0"/>
        <w:rPr>
          <w:rFonts w:hint="eastAsia"/>
        </w:rPr>
      </w:pPr>
      <w:r>
        <w:rPr>
          <w:rFonts w:hint="eastAsia"/>
          <w:lang w:val="en-US" w:eastAsia="zh-CN"/>
        </w:rPr>
        <w:t>四</w:t>
      </w:r>
      <w:r>
        <w:rPr>
          <w:rFonts w:hint="eastAsia"/>
        </w:rPr>
        <w:t>、营造浓厚创业文化氛围</w:t>
      </w:r>
    </w:p>
    <w:p w14:paraId="368BCE1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支持举办创业论坛、创新创业大赛等活动，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形成大胆创新、勇于创新、包容创新的良好氛围。</w:t>
      </w:r>
      <w:r>
        <w:rPr>
          <w:rFonts w:hint="eastAsia" w:ascii="仿宋_GB2312" w:hAnsi="仿宋_GB2312" w:eastAsia="仿宋_GB2312" w:cs="仿宋_GB2312"/>
          <w:color w:val="000000" w:themeColor="text1"/>
          <w:sz w:val="32"/>
          <w:szCs w:val="32"/>
          <w14:textFill>
            <w14:solidFill>
              <w14:schemeClr w14:val="tx1"/>
            </w14:solidFill>
          </w14:textFill>
        </w:rPr>
        <w:t>加大对创新创造者的奖励力度，设立“</w:t>
      </w:r>
      <w:r>
        <w:rPr>
          <w:rFonts w:hint="eastAsia" w:cs="仿宋_GB2312"/>
          <w:color w:val="000000" w:themeColor="text1"/>
          <w:sz w:val="32"/>
          <w:szCs w:val="32"/>
          <w:lang w:val="en-US" w:eastAsia="zh-CN"/>
          <w14:textFill>
            <w14:solidFill>
              <w14:schemeClr w14:val="tx1"/>
            </w14:solidFill>
          </w14:textFill>
        </w:rPr>
        <w:t>晋城市</w:t>
      </w:r>
      <w:r>
        <w:rPr>
          <w:rFonts w:hint="eastAsia" w:ascii="仿宋_GB2312" w:hAnsi="仿宋_GB2312" w:eastAsia="仿宋_GB2312" w:cs="仿宋_GB2312"/>
          <w:color w:val="000000" w:themeColor="text1"/>
          <w:sz w:val="32"/>
          <w:szCs w:val="32"/>
          <w14:textFill>
            <w14:solidFill>
              <w14:schemeClr w14:val="tx1"/>
            </w14:solidFill>
          </w14:textFill>
        </w:rPr>
        <w:t>创新转型发展突出贡献奖”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定期召开创新奖励大会、评选创新十大人才，对创新企业和人才进行重点表彰，对突出贡献科技人才重用提拔，激发全社会的创新创造活力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在全社会积极培养企业家精神和弘扬“敢为人先”的</w:t>
      </w:r>
      <w:r>
        <w:rPr>
          <w:rFonts w:hint="eastAsia" w:cs="仿宋_GB2312"/>
          <w:color w:val="000000" w:themeColor="text1"/>
          <w:sz w:val="32"/>
          <w:szCs w:val="32"/>
          <w:lang w:val="en-US" w:eastAsia="zh-CN"/>
          <w14:textFill>
            <w14:solidFill>
              <w14:schemeClr w14:val="tx1"/>
            </w14:solidFill>
          </w14:textFill>
        </w:rPr>
        <w:t>晋城</w:t>
      </w:r>
      <w:r>
        <w:rPr>
          <w:rFonts w:hint="eastAsia" w:ascii="仿宋_GB2312" w:hAnsi="仿宋_GB2312" w:eastAsia="仿宋_GB2312" w:cs="仿宋_GB2312"/>
          <w:color w:val="000000" w:themeColor="text1"/>
          <w:sz w:val="32"/>
          <w:szCs w:val="32"/>
          <w14:textFill>
            <w14:solidFill>
              <w14:schemeClr w14:val="tx1"/>
            </w14:solidFill>
          </w14:textFill>
        </w:rPr>
        <w:t>精神。加大创新创业宣传报道，弘扬创新创业成功典型，宣传创新优秀企业和人才，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在全社会树立崇尚创新、崇尚人才的鲜明导向。</w:t>
      </w:r>
    </w:p>
    <w:p w14:paraId="021B82F3">
      <w:pPr>
        <w:pStyle w:val="7"/>
        <w:bidi w:val="0"/>
        <w:ind w:left="0" w:leftChars="0" w:firstLine="0" w:firstLineChars="0"/>
        <w:jc w:val="center"/>
        <w:rPr>
          <w:rFonts w:hint="default"/>
          <w:lang w:val="en-US" w:eastAsia="zh-CN"/>
        </w:rPr>
      </w:pPr>
      <w:bookmarkStart w:id="18" w:name="_Toc30378"/>
      <w:r>
        <w:rPr>
          <w:rFonts w:hint="eastAsia"/>
          <w:lang w:val="en-US" w:eastAsia="zh-CN"/>
        </w:rPr>
        <w:t>第四节 建设高标准人力资源市场体系</w:t>
      </w:r>
      <w:bookmarkEnd w:id="18"/>
    </w:p>
    <w:p w14:paraId="1D40B6B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lang w:val="en-US" w:eastAsia="zh-CN"/>
        </w:rPr>
      </w:pPr>
      <w:r>
        <w:rPr>
          <w:rFonts w:hint="eastAsia" w:ascii="仿宋_GB2312" w:hAnsi="仿宋_GB2312" w:eastAsia="仿宋_GB2312" w:cs="仿宋_GB2312"/>
          <w:sz w:val="32"/>
          <w:szCs w:val="32"/>
          <w:lang w:val="en-US" w:eastAsia="zh-CN"/>
        </w:rPr>
        <w:t>建立专业化、信息化、产业化、国际化的人力资源服务体系。实现公共服务有效保障、经营性服务发展壮大、服务就业创业与人力资源开发配置能力显著提高，人力资源服务业对经济和社会发展贡献稳步提升。</w:t>
      </w:r>
    </w:p>
    <w:p w14:paraId="61705983">
      <w:pPr>
        <w:pStyle w:val="8"/>
        <w:bidi w:val="0"/>
        <w:rPr>
          <w:rFonts w:hint="eastAsia"/>
          <w:lang w:val="en-US" w:eastAsia="zh-CN"/>
        </w:rPr>
      </w:pPr>
      <w:r>
        <w:rPr>
          <w:rFonts w:hint="eastAsia"/>
          <w:lang w:val="en-US" w:eastAsia="zh-CN"/>
        </w:rPr>
        <w:t>一、加快培育统一开放、竞争有序的人力资源市场</w:t>
      </w:r>
    </w:p>
    <w:p w14:paraId="35E63B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充分发挥市场在人力资源配置中的决定性作用</w:t>
      </w:r>
      <w:r>
        <w:rPr>
          <w:rFonts w:hint="eastAsia"/>
          <w:sz w:val="32"/>
          <w:szCs w:val="32"/>
          <w:lang w:eastAsia="zh-CN"/>
        </w:rPr>
        <w:t>，</w:t>
      </w:r>
      <w:r>
        <w:rPr>
          <w:rFonts w:hint="eastAsia" w:ascii="仿宋_GB2312" w:eastAsia="仿宋_GB2312"/>
          <w:sz w:val="32"/>
          <w:szCs w:val="32"/>
        </w:rPr>
        <w:t>健全完善人力资源市场管理制度，规范人力资源市场秩序，建立功能完善、机制健全、运行有序、服务规范的人力资源市场体系。加快市、县公共就业服务和人才交流服务机构的整合，加强服务能力建设，扩展服务内容，提高服务效率和质量。</w:t>
      </w:r>
    </w:p>
    <w:p w14:paraId="0A7DE25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eastAsia="仿宋_GB2312"/>
          <w:sz w:val="32"/>
          <w:szCs w:val="32"/>
        </w:rPr>
      </w:pPr>
      <w:r>
        <w:rPr>
          <w:rFonts w:hint="eastAsia" w:ascii="仿宋_GB2312" w:eastAsia="仿宋_GB2312"/>
          <w:sz w:val="32"/>
          <w:szCs w:val="32"/>
        </w:rPr>
        <w:t>统筹人力资源市场，打破城乡、地区、行业分割和身份、性别歧视，维护劳动者平等就业权利，促进劳动力在地区、行业、企业之间自由流动。</w:t>
      </w:r>
    </w:p>
    <w:p w14:paraId="25051F09">
      <w:pPr>
        <w:pStyle w:val="8"/>
        <w:bidi w:val="0"/>
        <w:rPr>
          <w:rFonts w:hint="eastAsia"/>
          <w:lang w:val="en-US" w:eastAsia="zh-CN"/>
        </w:rPr>
      </w:pPr>
      <w:r>
        <w:rPr>
          <w:rFonts w:hint="eastAsia"/>
          <w:lang w:val="en-US" w:eastAsia="zh-CN"/>
        </w:rPr>
        <w:t>二、大力发展人力资源服务业</w:t>
      </w:r>
    </w:p>
    <w:p w14:paraId="07F17B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rPr>
        <w:t>大力发展人力资源服务业，制定实施人力资源服务业发展规划，规范、引导人才招聘、人才推荐、人员培训、劳务派遣等人力资源服务业发展</w:t>
      </w:r>
      <w:r>
        <w:rPr>
          <w:rFonts w:hint="eastAsia"/>
          <w:sz w:val="32"/>
          <w:szCs w:val="32"/>
          <w:lang w:eastAsia="zh-CN"/>
        </w:rPr>
        <w:t>。</w:t>
      </w:r>
      <w:r>
        <w:rPr>
          <w:rFonts w:hint="eastAsia" w:ascii="仿宋_GB2312" w:eastAsia="仿宋_GB2312"/>
          <w:sz w:val="32"/>
          <w:szCs w:val="32"/>
        </w:rPr>
        <w:t>培育和发展多层次、多元化的人力资源服务机构，推进人力资源服务创新，培育人力资源服务品牌，促进人力资源服务业健康发展。</w:t>
      </w:r>
      <w:r>
        <w:rPr>
          <w:rFonts w:hint="eastAsia" w:ascii="仿宋_GB2312" w:eastAsia="仿宋_GB2312"/>
          <w:sz w:val="32"/>
          <w:szCs w:val="32"/>
          <w:lang w:val="en-US" w:eastAsia="zh-CN"/>
        </w:rPr>
        <w:t>大力开拓国际市场，探索人力资源服务机构在全球设立分支机构，参与国际人力资源服务网络建设。</w:t>
      </w:r>
    </w:p>
    <w:p w14:paraId="7DA83F84">
      <w:pPr>
        <w:pStyle w:val="8"/>
        <w:bidi w:val="0"/>
        <w:rPr>
          <w:rFonts w:hint="eastAsia"/>
          <w:highlight w:val="cyan"/>
          <w:lang w:val="en-US" w:eastAsia="zh-CN"/>
        </w:rPr>
      </w:pPr>
      <w:r>
        <w:rPr>
          <w:rFonts w:hint="eastAsia"/>
          <w:lang w:val="en-US" w:eastAsia="zh-CN"/>
        </w:rPr>
        <w:t>三、推进人力资源市场诚</w:t>
      </w:r>
      <w:r>
        <w:rPr>
          <w:rFonts w:hint="eastAsia"/>
          <w:highlight w:val="none"/>
          <w:lang w:val="en-US" w:eastAsia="zh-CN"/>
        </w:rPr>
        <w:t>信体系建设</w:t>
      </w:r>
    </w:p>
    <w:p w14:paraId="30DFC8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lang w:val="en-US" w:eastAsia="zh-CN"/>
        </w:rPr>
      </w:pPr>
      <w:r>
        <w:rPr>
          <w:rFonts w:hint="eastAsia" w:ascii="仿宋_GB2312" w:eastAsia="仿宋_GB2312"/>
          <w:sz w:val="32"/>
          <w:szCs w:val="32"/>
        </w:rPr>
        <w:t>规范招用人制度，尊重劳动者和用人单位市场主体地位，消除影响平等就业的制度障碍和就业歧视。</w:t>
      </w:r>
      <w:r>
        <w:rPr>
          <w:rFonts w:hint="eastAsia"/>
          <w:sz w:val="32"/>
          <w:szCs w:val="32"/>
          <w:lang w:val="en-US" w:eastAsia="zh-CN"/>
        </w:rPr>
        <w:t>深入开展人力资源服务机构诚信主题创建活动，定期评选“人力资源诚信服务规范机构”，发挥先进典型的引领带动作用。构建守信激励和失信惩戒的良好制度生态，不断提升诚信服务监督水平。</w:t>
      </w:r>
    </w:p>
    <w:p w14:paraId="4F9BFB56">
      <w:pPr>
        <w:keepNext w:val="0"/>
        <w:keepLines w:val="0"/>
        <w:pageBreakBefore w:val="0"/>
        <w:widowControl/>
        <w:kinsoku/>
        <w:wordWrap/>
        <w:overflowPunct/>
        <w:topLinePunct w:val="0"/>
        <w:autoSpaceDE/>
        <w:autoSpaceDN/>
        <w:bidi w:val="0"/>
        <w:adjustRightInd/>
        <w:snapToGrid/>
        <w:spacing w:before="157" w:beforeLines="50" w:line="240" w:lineRule="auto"/>
        <w:ind w:firstLine="0" w:firstLineChars="0"/>
        <w:jc w:val="center"/>
        <w:textAlignment w:val="auto"/>
        <w:outlineLvl w:val="0"/>
        <w:rPr>
          <w:rFonts w:hint="default" w:ascii="黑体" w:hAnsi="黑体" w:eastAsia="黑体" w:cs="黑体"/>
          <w:b/>
          <w:bCs/>
          <w:szCs w:val="32"/>
          <w:lang w:val="en-US" w:eastAsia="zh-CN"/>
        </w:rPr>
      </w:pPr>
      <w:bookmarkStart w:id="19" w:name="_Toc27484"/>
      <w:r>
        <w:rPr>
          <w:rFonts w:hint="eastAsia" w:ascii="黑体" w:hAnsi="黑体" w:eastAsia="黑体" w:cs="黑体"/>
          <w:b/>
          <w:bCs/>
          <w:szCs w:val="32"/>
          <w:lang w:val="en-US" w:eastAsia="zh-CN"/>
        </w:rPr>
        <w:t>第三章 大力实施人才强市战略，充分发挥人才富集优势</w:t>
      </w:r>
      <w:bookmarkEnd w:id="19"/>
    </w:p>
    <w:p w14:paraId="025CDAE6">
      <w:pPr>
        <w:pStyle w:val="12"/>
        <w:rPr>
          <w:rFonts w:hint="default" w:ascii="仿宋_GB2312" w:hAnsi="仿宋_GB2312" w:eastAsia="仿宋_GB2312" w:cs="Times New Roman"/>
          <w:kern w:val="2"/>
          <w:sz w:val="32"/>
          <w:szCs w:val="32"/>
          <w:lang w:val="en-US" w:eastAsia="zh-CN" w:bidi="ar-SA"/>
        </w:rPr>
      </w:pPr>
      <w:r>
        <w:rPr>
          <w:rFonts w:hint="default" w:ascii="仿宋_GB2312" w:hAnsi="仿宋_GB2312" w:eastAsia="仿宋_GB2312" w:cs="Times New Roman"/>
          <w:kern w:val="2"/>
          <w:sz w:val="32"/>
          <w:szCs w:val="32"/>
          <w:lang w:val="en-US" w:eastAsia="zh-CN" w:bidi="ar-SA"/>
        </w:rPr>
        <w:t>把握人才工作目标方向，着力提升人才工作精准度和实效性，完善人才工作体制机制，持续</w:t>
      </w:r>
      <w:r>
        <w:rPr>
          <w:rFonts w:hint="eastAsia" w:cs="Times New Roman"/>
          <w:kern w:val="2"/>
          <w:sz w:val="32"/>
          <w:szCs w:val="32"/>
          <w:lang w:val="en-US" w:eastAsia="zh-CN" w:bidi="ar-SA"/>
        </w:rPr>
        <w:t>改善</w:t>
      </w:r>
      <w:r>
        <w:rPr>
          <w:rFonts w:hint="default" w:ascii="仿宋_GB2312" w:hAnsi="仿宋_GB2312" w:eastAsia="仿宋_GB2312" w:cs="Times New Roman"/>
          <w:kern w:val="2"/>
          <w:sz w:val="32"/>
          <w:szCs w:val="32"/>
          <w:lang w:val="en-US" w:eastAsia="zh-CN" w:bidi="ar-SA"/>
        </w:rPr>
        <w:t>人才发展环境，</w:t>
      </w:r>
      <w:r>
        <w:rPr>
          <w:rFonts w:hint="eastAsia" w:cs="Times New Roman"/>
          <w:kern w:val="2"/>
          <w:sz w:val="32"/>
          <w:szCs w:val="32"/>
          <w:lang w:val="en-US" w:eastAsia="zh-CN" w:bidi="ar-SA"/>
        </w:rPr>
        <w:t>优化人才结构，</w:t>
      </w:r>
      <w:r>
        <w:rPr>
          <w:rFonts w:hint="default" w:ascii="仿宋_GB2312" w:hAnsi="仿宋_GB2312" w:eastAsia="仿宋_GB2312" w:cs="Times New Roman"/>
          <w:kern w:val="2"/>
          <w:sz w:val="32"/>
          <w:szCs w:val="32"/>
          <w:lang w:val="en-US" w:eastAsia="zh-CN" w:bidi="ar-SA"/>
        </w:rPr>
        <w:t>健全人才服务保障体系，</w:t>
      </w:r>
      <w:r>
        <w:rPr>
          <w:rFonts w:hint="eastAsia" w:cs="Times New Roman"/>
          <w:kern w:val="2"/>
          <w:sz w:val="32"/>
          <w:szCs w:val="32"/>
          <w:lang w:val="en-US" w:eastAsia="zh-CN" w:bidi="ar-SA"/>
        </w:rPr>
        <w:t>为</w:t>
      </w:r>
      <w:r>
        <w:rPr>
          <w:rFonts w:hint="default" w:ascii="仿宋_GB2312" w:hAnsi="仿宋_GB2312" w:eastAsia="仿宋_GB2312" w:cs="Times New Roman"/>
          <w:kern w:val="2"/>
          <w:sz w:val="32"/>
          <w:szCs w:val="32"/>
          <w:lang w:val="en-US" w:eastAsia="zh-CN" w:bidi="ar-SA"/>
        </w:rPr>
        <w:t>推动</w:t>
      </w:r>
      <w:r>
        <w:rPr>
          <w:rFonts w:hint="eastAsia" w:cs="Times New Roman"/>
          <w:kern w:val="2"/>
          <w:sz w:val="32"/>
          <w:szCs w:val="32"/>
          <w:lang w:val="en-US" w:eastAsia="zh-CN" w:bidi="ar-SA"/>
        </w:rPr>
        <w:t>晋城</w:t>
      </w:r>
      <w:r>
        <w:rPr>
          <w:rFonts w:hint="default" w:ascii="仿宋_GB2312" w:hAnsi="仿宋_GB2312" w:eastAsia="仿宋_GB2312" w:cs="Times New Roman"/>
          <w:kern w:val="2"/>
          <w:sz w:val="32"/>
          <w:szCs w:val="32"/>
          <w:lang w:val="en-US" w:eastAsia="zh-CN" w:bidi="ar-SA"/>
        </w:rPr>
        <w:t>高质量跨越式可持续发展提供坚强的人才支撑和智力保障。</w:t>
      </w:r>
    </w:p>
    <w:p w14:paraId="19F60F90">
      <w:pPr>
        <w:pStyle w:val="7"/>
        <w:bidi w:val="0"/>
        <w:ind w:left="0" w:leftChars="0" w:firstLine="0" w:firstLineChars="0"/>
        <w:jc w:val="center"/>
        <w:rPr>
          <w:rFonts w:hint="default" w:ascii="宋体" w:hAnsi="宋体" w:eastAsia="宋体" w:cs="宋体"/>
          <w:lang w:val="en-US" w:eastAsia="zh-CN"/>
        </w:rPr>
      </w:pPr>
      <w:bookmarkStart w:id="20" w:name="_Toc20806"/>
      <w:r>
        <w:rPr>
          <w:rFonts w:hint="eastAsia" w:ascii="宋体" w:hAnsi="宋体" w:eastAsia="宋体" w:cs="宋体"/>
        </w:rPr>
        <w:t>第</w:t>
      </w:r>
      <w:r>
        <w:rPr>
          <w:rFonts w:hint="eastAsia" w:ascii="宋体" w:hAnsi="宋体" w:eastAsia="宋体" w:cs="宋体"/>
          <w:lang w:val="en-US" w:eastAsia="zh-CN"/>
        </w:rPr>
        <w:t>一</w:t>
      </w:r>
      <w:r>
        <w:rPr>
          <w:rFonts w:hint="eastAsia" w:ascii="宋体" w:hAnsi="宋体" w:eastAsia="宋体" w:cs="宋体"/>
        </w:rPr>
        <w:t>节 推进</w:t>
      </w:r>
      <w:r>
        <w:rPr>
          <w:rFonts w:hint="eastAsia" w:ascii="宋体" w:hAnsi="宋体" w:eastAsia="宋体" w:cs="宋体"/>
          <w:lang w:val="en-US" w:eastAsia="zh-CN"/>
        </w:rPr>
        <w:t>建设高质量</w:t>
      </w:r>
      <w:r>
        <w:rPr>
          <w:rFonts w:hint="eastAsia" w:ascii="宋体" w:hAnsi="宋体" w:eastAsia="宋体" w:cs="宋体"/>
          <w:lang w:eastAsia="zh-CN"/>
        </w:rPr>
        <w:t>“</w:t>
      </w:r>
      <w:r>
        <w:rPr>
          <w:rFonts w:hint="eastAsia" w:ascii="宋体" w:hAnsi="宋体" w:eastAsia="宋体" w:cs="宋体"/>
        </w:rPr>
        <w:t>人人持证</w:t>
      </w:r>
      <w:r>
        <w:rPr>
          <w:rFonts w:hint="eastAsia" w:ascii="宋体" w:hAnsi="宋体" w:eastAsia="宋体" w:cs="宋体"/>
          <w:lang w:eastAsia="zh-CN"/>
        </w:rPr>
        <w:t>、</w:t>
      </w:r>
      <w:r>
        <w:rPr>
          <w:rFonts w:hint="eastAsia" w:ascii="宋体" w:hAnsi="宋体" w:eastAsia="宋体" w:cs="宋体"/>
        </w:rPr>
        <w:t>技能社会</w:t>
      </w:r>
      <w:r>
        <w:rPr>
          <w:rFonts w:hint="eastAsia" w:ascii="宋体" w:hAnsi="宋体" w:eastAsia="宋体" w:cs="宋体"/>
          <w:lang w:eastAsia="zh-CN"/>
        </w:rPr>
        <w:t>”</w:t>
      </w:r>
      <w:bookmarkEnd w:id="20"/>
    </w:p>
    <w:p w14:paraId="08C34548">
      <w:pPr>
        <w:pStyle w:val="8"/>
        <w:bidi w:val="0"/>
        <w:rPr>
          <w:rFonts w:hint="default" w:eastAsia="仿宋_GB2312"/>
          <w:lang w:val="en-US" w:eastAsia="zh-CN"/>
        </w:rPr>
      </w:pPr>
      <w:r>
        <w:rPr>
          <w:rFonts w:hint="eastAsia" w:cs="Times New Roman"/>
          <w:b w:val="0"/>
          <w:kern w:val="2"/>
          <w:sz w:val="32"/>
          <w:szCs w:val="32"/>
          <w:lang w:val="en-US" w:eastAsia="zh-CN" w:bidi="ar-SA"/>
        </w:rPr>
        <w:t>大幅增加持证人员总量，大力提升全民能力素质，从业人员基本实现“人人持证”，晋城实现“技能社会”。</w:t>
      </w:r>
    </w:p>
    <w:p w14:paraId="2C28BD6D">
      <w:pPr>
        <w:pStyle w:val="8"/>
        <w:bidi w:val="0"/>
        <w:rPr>
          <w:rFonts w:hint="eastAsia"/>
        </w:rPr>
      </w:pPr>
      <w:r>
        <w:rPr>
          <w:rFonts w:hint="eastAsia"/>
        </w:rPr>
        <w:t>一、持续开展普惠性职业技能培训</w:t>
      </w:r>
    </w:p>
    <w:p w14:paraId="47FE7C2A">
      <w:pPr>
        <w:pStyle w:val="5"/>
        <w:ind w:left="0" w:leftChars="0" w:firstLine="664" w:firstLineChars="200"/>
        <w:rPr>
          <w:rFonts w:hint="default" w:eastAsia="仿宋_GB2312"/>
          <w:lang w:val="en-US" w:eastAsia="zh-CN"/>
        </w:rPr>
      </w:pPr>
      <w:r>
        <w:rPr>
          <w:rFonts w:hint="eastAsia" w:ascii="仿宋_GB2312" w:eastAsia="仿宋_GB2312"/>
          <w:sz w:val="32"/>
          <w:szCs w:val="32"/>
          <w:lang w:val="en-US" w:eastAsia="zh-CN"/>
        </w:rPr>
        <w:t>拓宽职业技能培训资金使用范围，</w:t>
      </w:r>
      <w:r>
        <w:rPr>
          <w:rFonts w:hint="eastAsia" w:ascii="仿宋_GB2312" w:eastAsia="仿宋_GB2312"/>
          <w:sz w:val="32"/>
          <w:szCs w:val="32"/>
        </w:rPr>
        <w:t>持续开展</w:t>
      </w:r>
      <w:r>
        <w:rPr>
          <w:rFonts w:hint="eastAsia" w:ascii="仿宋_GB2312" w:eastAsia="仿宋_GB2312"/>
          <w:sz w:val="32"/>
          <w:szCs w:val="32"/>
          <w:lang w:val="en-US" w:eastAsia="zh-CN"/>
        </w:rPr>
        <w:t>大规模、多层次、</w:t>
      </w:r>
      <w:r>
        <w:rPr>
          <w:rFonts w:hint="eastAsia" w:ascii="仿宋_GB2312" w:eastAsia="仿宋_GB2312"/>
          <w:sz w:val="32"/>
          <w:szCs w:val="32"/>
        </w:rPr>
        <w:t>普惠性培训，做到“应培尽培、愿培尽培”</w:t>
      </w:r>
      <w:r>
        <w:rPr>
          <w:rFonts w:hint="eastAsia" w:ascii="仿宋_GB2312" w:eastAsia="仿宋_GB2312"/>
          <w:sz w:val="32"/>
          <w:szCs w:val="32"/>
          <w:lang w:eastAsia="zh-CN"/>
        </w:rPr>
        <w:t>。围绕“十四五”转型出雏型的目标要求，培养相关的技术工人</w:t>
      </w:r>
      <w:r>
        <w:rPr>
          <w:rFonts w:hint="eastAsia" w:ascii="仿宋_GB2312" w:eastAsia="仿宋_GB2312"/>
          <w:sz w:val="32"/>
          <w:szCs w:val="32"/>
          <w:lang w:val="en-US" w:eastAsia="zh-CN"/>
        </w:rPr>
        <w:t>和</w:t>
      </w:r>
      <w:r>
        <w:rPr>
          <w:rFonts w:hint="eastAsia" w:ascii="仿宋_GB2312" w:eastAsia="仿宋_GB2312"/>
          <w:sz w:val="32"/>
          <w:szCs w:val="32"/>
          <w:lang w:eastAsia="zh-CN"/>
        </w:rPr>
        <w:t>高素质农民，推动全省经济高质量高速度发展。围绕持证精准发力，全面推行职业技能电子培训券，</w:t>
      </w:r>
      <w:r>
        <w:rPr>
          <w:rFonts w:hint="eastAsia" w:ascii="仿宋_GB2312" w:eastAsia="仿宋_GB2312"/>
          <w:sz w:val="32"/>
          <w:szCs w:val="32"/>
          <w:lang w:val="en-US" w:eastAsia="zh-CN"/>
        </w:rPr>
        <w:t>提高领券持券劳动者自主“购买”培训机构的技能培训服务水平，</w:t>
      </w:r>
      <w:r>
        <w:rPr>
          <w:rFonts w:hint="eastAsia" w:ascii="仿宋_GB2312" w:eastAsia="仿宋_GB2312"/>
          <w:sz w:val="32"/>
          <w:szCs w:val="32"/>
          <w:lang w:eastAsia="zh-CN"/>
        </w:rPr>
        <w:t>提升技能培训的针对性、有效性、满意度。</w:t>
      </w:r>
      <w:r>
        <w:rPr>
          <w:rFonts w:hint="eastAsia" w:ascii="仿宋_GB2312" w:eastAsia="仿宋_GB2312"/>
          <w:sz w:val="32"/>
          <w:szCs w:val="32"/>
          <w:lang w:val="en-US" w:eastAsia="zh-CN"/>
        </w:rPr>
        <w:t>面向市场需求，加大开展新业态新模式从业人员技能培训。支持高校</w:t>
      </w:r>
      <w:r>
        <w:rPr>
          <w:rFonts w:hint="eastAsia" w:ascii="仿宋_GB2312" w:eastAsia="仿宋_GB2312"/>
          <w:sz w:val="32"/>
          <w:szCs w:val="32"/>
          <w:lang w:eastAsia="zh-CN"/>
        </w:rPr>
        <w:t>积极开展创新创业能力和职业技能培训，鼓励在校大学生取得相关职业技能等级证书。</w:t>
      </w:r>
      <w:r>
        <w:rPr>
          <w:rFonts w:hint="eastAsia" w:ascii="仿宋_GB2312" w:eastAsia="仿宋_GB2312"/>
          <w:sz w:val="32"/>
          <w:szCs w:val="32"/>
        </w:rPr>
        <w:t>鼓励企业</w:t>
      </w:r>
      <w:r>
        <w:rPr>
          <w:rFonts w:hint="eastAsia" w:ascii="仿宋_GB2312" w:eastAsia="仿宋_GB2312"/>
          <w:sz w:val="32"/>
          <w:szCs w:val="32"/>
          <w:lang w:val="en-US" w:eastAsia="zh-CN"/>
        </w:rPr>
        <w:t>围绕产业升级和技术创新、生产经营需要，</w:t>
      </w:r>
      <w:r>
        <w:rPr>
          <w:rFonts w:hint="eastAsia" w:ascii="仿宋_GB2312" w:eastAsia="仿宋_GB2312"/>
          <w:sz w:val="32"/>
          <w:szCs w:val="32"/>
        </w:rPr>
        <w:t>广泛组织</w:t>
      </w:r>
      <w:r>
        <w:rPr>
          <w:rFonts w:hint="eastAsia" w:ascii="仿宋_GB2312" w:eastAsia="仿宋_GB2312"/>
          <w:sz w:val="32"/>
          <w:szCs w:val="32"/>
          <w:lang w:val="en-US" w:eastAsia="zh-CN"/>
        </w:rPr>
        <w:t>各类</w:t>
      </w:r>
      <w:r>
        <w:rPr>
          <w:rFonts w:hint="eastAsia" w:ascii="仿宋_GB2312" w:eastAsia="仿宋_GB2312"/>
          <w:sz w:val="32"/>
          <w:szCs w:val="32"/>
        </w:rPr>
        <w:t>综合性培训，</w:t>
      </w:r>
      <w:r>
        <w:rPr>
          <w:rFonts w:hint="eastAsia" w:ascii="仿宋_GB2312" w:eastAsia="仿宋_GB2312"/>
          <w:sz w:val="32"/>
          <w:szCs w:val="32"/>
          <w:lang w:val="en-US" w:eastAsia="zh-CN"/>
        </w:rPr>
        <w:t>积极开展在岗职工技能等级取证工作，突出提升</w:t>
      </w:r>
      <w:r>
        <w:rPr>
          <w:rFonts w:hint="eastAsia" w:ascii="仿宋_GB2312" w:eastAsia="仿宋_GB2312"/>
          <w:sz w:val="32"/>
          <w:szCs w:val="32"/>
        </w:rPr>
        <w:t>企业职工</w:t>
      </w:r>
      <w:r>
        <w:rPr>
          <w:rFonts w:hint="eastAsia" w:ascii="仿宋_GB2312" w:eastAsia="仿宋_GB2312"/>
          <w:sz w:val="32"/>
          <w:szCs w:val="32"/>
          <w:lang w:val="en-US" w:eastAsia="zh-CN"/>
        </w:rPr>
        <w:t>技能水平。</w:t>
      </w:r>
      <w:r>
        <w:rPr>
          <w:rFonts w:hint="eastAsia" w:ascii="仿宋_GB2312" w:hAnsi="Times New Roman" w:eastAsia="仿宋_GB2312" w:cs="Times New Roman"/>
          <w:spacing w:val="6"/>
          <w:kern w:val="21"/>
          <w:sz w:val="32"/>
          <w:szCs w:val="32"/>
          <w:lang w:val="en-US" w:eastAsia="zh-CN" w:bidi="ar-SA"/>
        </w:rPr>
        <w:t>建设一批高技能人才培训基地，完成职业技能提升和高职扩招三年行动计划。以完善政策措施、创新体制机制、健全服务体系为重点，建立以企业行业、普通高校和职业院校（含技工院校）双主体，学校教育与企业培养紧密联系、政府推动与社会支持相互结合的技能人才培养体系。积极培育和发展各类职业技能培训机构，建立多渠道、多形式、多层次的办学体系。</w:t>
      </w:r>
      <w:r>
        <w:rPr>
          <w:rFonts w:hint="eastAsia" w:ascii="仿宋_GB2312" w:eastAsia="仿宋_GB2312" w:cs="Times New Roman"/>
          <w:spacing w:val="6"/>
          <w:kern w:val="21"/>
          <w:sz w:val="32"/>
          <w:szCs w:val="32"/>
          <w:lang w:val="en-US" w:eastAsia="zh-CN" w:bidi="ar-SA"/>
        </w:rPr>
        <w:t>规范职业技能等级评价机构，提高各类技能评估办证质量。</w:t>
      </w:r>
    </w:p>
    <w:p w14:paraId="2D36DDD6">
      <w:pPr>
        <w:pStyle w:val="8"/>
        <w:numPr>
          <w:ilvl w:val="0"/>
          <w:numId w:val="4"/>
        </w:numPr>
        <w:bidi w:val="0"/>
        <w:rPr>
          <w:rFonts w:hint="default" w:eastAsia="仿宋_GB2312"/>
          <w:lang w:val="en-US" w:eastAsia="zh-CN"/>
        </w:rPr>
      </w:pPr>
      <w:r>
        <w:rPr>
          <w:rFonts w:hint="eastAsia"/>
        </w:rPr>
        <w:t>重点推动结构性技能人才供需匹配培训</w:t>
      </w:r>
    </w:p>
    <w:p w14:paraId="6CEAFE1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3" w:lineRule="atLeast"/>
        <w:ind w:left="0" w:right="0" w:firstLine="0"/>
        <w:jc w:val="both"/>
        <w:rPr>
          <w:rFonts w:hint="eastAsia" w:ascii="仿宋_GB2312" w:hAnsi="Times New Roman" w:eastAsia="仿宋_GB2312" w:cs="Times New Roman"/>
          <w:spacing w:val="6"/>
          <w:kern w:val="21"/>
          <w:sz w:val="32"/>
          <w:szCs w:val="32"/>
          <w:lang w:val="en-US" w:eastAsia="zh-CN" w:bidi="ar-SA"/>
        </w:rPr>
      </w:pPr>
      <w:r>
        <w:rPr>
          <w:rFonts w:hint="eastAsia" w:ascii="仿宋_GB2312" w:hAnsi="Times New Roman" w:eastAsia="仿宋_GB2312" w:cs="Times New Roman"/>
          <w:spacing w:val="6"/>
          <w:kern w:val="21"/>
          <w:sz w:val="32"/>
          <w:szCs w:val="32"/>
          <w:lang w:val="en-US" w:eastAsia="zh-CN" w:bidi="ar-SA"/>
        </w:rPr>
        <w:t>聚焦“六新”突破，围绕煤层气、数字经济、光机电、康养旅游等新兴产业需求，动态调整技能人才培养方向，加大急需紧缺技能人才培养，提高技能人才支撑力和劳动就业竞争力。围绕生猪扩能转型、家禽扩规上档、肉羊振兴升级、蜂业翻番富民、蔬菜智能提升、中药材转化增值等农业六大工程，加大高素质新型职业农民培养力度。围绕乡村振兴人才需求，制定高素质农业培训行动方案，实施农业企业家、新型经营主体带头人、家庭农场主、返乡创业青年、种养加能手和能工巧匠5项培养计划。 建立完善持证农民数据库，实现持证信息可追溯、可查核、相关政策支持可兑现。深化产教融合、校企合作，支持职业院校持续推进订单式、菜单式和项目制培训，大力推广“工学一体化”、“职业培训包”培训，深入实施职业技能等级证书制度，鼓励每名毕业生毕业时至少取得1个以上职业技能等级证书，提高技能人才培养与市场需求对接率。</w:t>
      </w:r>
    </w:p>
    <w:p w14:paraId="298EB3E8">
      <w:pPr>
        <w:pStyle w:val="8"/>
        <w:bidi w:val="0"/>
        <w:rPr>
          <w:rFonts w:hint="default" w:eastAsia="仿宋_GB2312"/>
          <w:lang w:val="en-US" w:eastAsia="zh-CN"/>
        </w:rPr>
      </w:pPr>
      <w:r>
        <w:rPr>
          <w:rFonts w:hint="eastAsia"/>
        </w:rPr>
        <w:t>三、</w:t>
      </w:r>
      <w:r>
        <w:rPr>
          <w:rFonts w:hint="eastAsia"/>
          <w:lang w:val="en-US" w:eastAsia="zh-CN"/>
        </w:rPr>
        <w:t>奋力打造一流劳务品牌</w:t>
      </w:r>
    </w:p>
    <w:p w14:paraId="161A44B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3" w:lineRule="atLeast"/>
        <w:ind w:left="0" w:right="0" w:firstLine="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因地制宜打造一流劳务品牌，以劳务品牌转移输出推动就业，进军国内国际中高端劳务市场</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以劳务品牌“</w:t>
      </w:r>
      <w:r>
        <w:rPr>
          <w:rFonts w:hint="eastAsia" w:cs="仿宋_GB2312"/>
          <w:sz w:val="32"/>
          <w:szCs w:val="32"/>
          <w:lang w:val="en-US" w:eastAsia="zh-CN"/>
        </w:rPr>
        <w:t>沁源</w:t>
      </w:r>
      <w:r>
        <w:rPr>
          <w:rFonts w:hint="eastAsia" w:ascii="仿宋_GB2312" w:hAnsi="仿宋_GB2312" w:eastAsia="仿宋_GB2312" w:cs="仿宋_GB2312"/>
          <w:sz w:val="32"/>
          <w:szCs w:val="32"/>
          <w:lang w:val="en-US" w:eastAsia="zh-CN"/>
        </w:rPr>
        <w:t>叉车工”为引领，打造具有晋城特色的劳务品牌</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紧紧围绕全市煤层气、制造业、铸造、煤化工、全域旅游五大产业和市委、市政府的产业布局，积极培养新特优劳务品牌。“十四五”期间，以打造世界光谷为引领，打造1-2个光机电劳务品牌。以铸造、制造业为引领，打造2-3个焊工、铸工劳务品牌。以全域旅游为引领，打造1-2个康养、家政服务劳务品牌。探索建立省外劳务输出工作服务站，逐步建设山西省外出务工人员信息服务平台，为省外劳务输出提供有力保障。紧盯职业技能培训的国际市场就业目标导向，掌握国际市场人力资源供需动态，推动对外就业工作。</w:t>
      </w:r>
    </w:p>
    <w:p w14:paraId="62C7C1F6">
      <w:pPr>
        <w:pStyle w:val="7"/>
        <w:bidi w:val="0"/>
        <w:ind w:left="0" w:leftChars="0" w:firstLine="0" w:firstLineChars="0"/>
        <w:jc w:val="center"/>
        <w:rPr>
          <w:rFonts w:hint="eastAsia" w:ascii="宋体" w:hAnsi="宋体" w:eastAsia="宋体" w:cs="宋体"/>
          <w:lang w:val="en-US" w:eastAsia="zh-CN"/>
        </w:rPr>
      </w:pPr>
      <w:bookmarkStart w:id="21" w:name="_Toc13368"/>
      <w:r>
        <w:rPr>
          <w:rFonts w:hint="eastAsia" w:ascii="宋体" w:hAnsi="宋体" w:eastAsia="宋体" w:cs="宋体"/>
          <w:lang w:val="en-US" w:eastAsia="zh-CN"/>
        </w:rPr>
        <w:t>第二节 加强专业技术人才队伍建设</w:t>
      </w:r>
      <w:bookmarkEnd w:id="21"/>
    </w:p>
    <w:p w14:paraId="7C5CEE48">
      <w:pPr>
        <w:pStyle w:val="8"/>
        <w:bidi w:val="0"/>
        <w:rPr>
          <w:rFonts w:hint="default" w:ascii="仿宋_GB2312" w:hAnsi="仿宋_GB2312" w:eastAsia="仿宋_GB2312" w:cs="Times New Roman"/>
          <w:b w:val="0"/>
          <w:kern w:val="2"/>
          <w:sz w:val="32"/>
          <w:szCs w:val="32"/>
          <w:lang w:val="en-US" w:eastAsia="zh-CN" w:bidi="ar-SA"/>
        </w:rPr>
      </w:pPr>
      <w:r>
        <w:rPr>
          <w:rFonts w:hint="eastAsia" w:cs="Times New Roman"/>
          <w:b w:val="0"/>
          <w:kern w:val="2"/>
          <w:sz w:val="32"/>
          <w:szCs w:val="32"/>
          <w:lang w:val="en-US" w:eastAsia="zh-CN" w:bidi="ar-SA"/>
        </w:rPr>
        <w:t>进一步</w:t>
      </w:r>
      <w:r>
        <w:rPr>
          <w:rFonts w:hint="eastAsia" w:ascii="仿宋_GB2312" w:hAnsi="仿宋_GB2312" w:eastAsia="仿宋_GB2312" w:cs="Times New Roman"/>
          <w:b w:val="0"/>
          <w:kern w:val="2"/>
          <w:sz w:val="32"/>
          <w:szCs w:val="32"/>
          <w:lang w:val="en-US" w:eastAsia="zh-CN" w:bidi="ar-SA"/>
        </w:rPr>
        <w:t>破除“四唯”倾向，强化专业</w:t>
      </w:r>
      <w:r>
        <w:rPr>
          <w:rFonts w:hint="eastAsia" w:cs="Times New Roman"/>
          <w:b w:val="0"/>
          <w:kern w:val="2"/>
          <w:sz w:val="32"/>
          <w:szCs w:val="32"/>
          <w:lang w:val="en-US" w:eastAsia="zh-CN" w:bidi="ar-SA"/>
        </w:rPr>
        <w:t>技术</w:t>
      </w:r>
      <w:r>
        <w:rPr>
          <w:rFonts w:hint="eastAsia" w:ascii="仿宋_GB2312" w:hAnsi="仿宋_GB2312" w:eastAsia="仿宋_GB2312" w:cs="Times New Roman"/>
          <w:b w:val="0"/>
          <w:kern w:val="2"/>
          <w:sz w:val="32"/>
          <w:szCs w:val="32"/>
          <w:lang w:val="en-US" w:eastAsia="zh-CN" w:bidi="ar-SA"/>
        </w:rPr>
        <w:t>人才能力贡献，突出工作</w:t>
      </w:r>
      <w:r>
        <w:rPr>
          <w:rFonts w:hint="eastAsia" w:cs="Times New Roman"/>
          <w:b w:val="0"/>
          <w:kern w:val="2"/>
          <w:sz w:val="32"/>
          <w:szCs w:val="32"/>
          <w:lang w:val="en-US" w:eastAsia="zh-CN" w:bidi="ar-SA"/>
        </w:rPr>
        <w:t>业绩</w:t>
      </w:r>
      <w:r>
        <w:rPr>
          <w:rFonts w:hint="eastAsia" w:ascii="仿宋_GB2312" w:hAnsi="仿宋_GB2312" w:eastAsia="仿宋_GB2312" w:cs="Times New Roman"/>
          <w:b w:val="0"/>
          <w:kern w:val="2"/>
          <w:sz w:val="32"/>
          <w:szCs w:val="32"/>
          <w:lang w:val="en-US" w:eastAsia="zh-CN" w:bidi="ar-SA"/>
        </w:rPr>
        <w:t>，</w:t>
      </w:r>
      <w:r>
        <w:rPr>
          <w:rFonts w:hint="eastAsia" w:cs="Times New Roman"/>
          <w:b w:val="0"/>
          <w:kern w:val="2"/>
          <w:sz w:val="32"/>
          <w:szCs w:val="32"/>
          <w:lang w:val="en-US" w:eastAsia="zh-CN" w:bidi="ar-SA"/>
        </w:rPr>
        <w:t>提升专业技术人才队伍对经济社会发展的支撑作用。</w:t>
      </w:r>
    </w:p>
    <w:p w14:paraId="5580BC6D">
      <w:pPr>
        <w:pStyle w:val="8"/>
        <w:bidi w:val="0"/>
        <w:rPr>
          <w:rFonts w:hint="eastAsia"/>
          <w:lang w:val="en-US" w:eastAsia="zh-CN"/>
        </w:rPr>
      </w:pPr>
      <w:r>
        <w:rPr>
          <w:rFonts w:hint="eastAsia"/>
          <w:lang w:val="en-US" w:eastAsia="zh-CN"/>
        </w:rPr>
        <w:t>一、健全专业技术人才制度体系</w:t>
      </w:r>
    </w:p>
    <w:p w14:paraId="34717BBC">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sz w:val="32"/>
          <w:szCs w:val="32"/>
          <w:lang w:val="en-US" w:eastAsia="zh-CN"/>
        </w:rPr>
        <w:t>不断</w:t>
      </w:r>
      <w:r>
        <w:rPr>
          <w:rFonts w:hint="eastAsia" w:ascii="仿宋_GB2312" w:eastAsia="仿宋_GB2312"/>
          <w:sz w:val="32"/>
          <w:szCs w:val="32"/>
        </w:rPr>
        <w:t>拓展职称评审人员范围，</w:t>
      </w:r>
      <w:r>
        <w:rPr>
          <w:rFonts w:hint="eastAsia"/>
          <w:sz w:val="32"/>
          <w:szCs w:val="32"/>
          <w:lang w:val="en-US" w:eastAsia="zh-CN"/>
        </w:rPr>
        <w:t>逐步加大对</w:t>
      </w:r>
      <w:r>
        <w:rPr>
          <w:rFonts w:hint="eastAsia" w:ascii="仿宋_GB2312" w:eastAsia="仿宋_GB2312"/>
          <w:sz w:val="32"/>
          <w:szCs w:val="32"/>
        </w:rPr>
        <w:t>非公有制经济组织、社会组织、自由职业专业技术人才</w:t>
      </w:r>
      <w:r>
        <w:rPr>
          <w:rFonts w:hint="eastAsia"/>
          <w:sz w:val="32"/>
          <w:szCs w:val="32"/>
          <w:lang w:val="en-US" w:eastAsia="zh-CN"/>
        </w:rPr>
        <w:t>评审。</w:t>
      </w:r>
      <w:r>
        <w:rPr>
          <w:rFonts w:hint="eastAsia" w:ascii="仿宋_GB2312" w:eastAsia="仿宋_GB2312"/>
          <w:sz w:val="32"/>
          <w:szCs w:val="32"/>
        </w:rPr>
        <w:t>坚持以德为先，对学术不端行为实行“一票否决”</w:t>
      </w:r>
      <w:r>
        <w:rPr>
          <w:rFonts w:hint="eastAsia"/>
          <w:sz w:val="32"/>
          <w:szCs w:val="32"/>
          <w:lang w:val="en-US" w:eastAsia="zh-CN"/>
        </w:rPr>
        <w:t>制</w:t>
      </w:r>
      <w:r>
        <w:rPr>
          <w:rFonts w:hint="eastAsia" w:ascii="仿宋_GB2312" w:eastAsia="仿宋_GB2312"/>
          <w:sz w:val="32"/>
          <w:szCs w:val="32"/>
        </w:rPr>
        <w:t>。逐步</w:t>
      </w:r>
      <w:r>
        <w:rPr>
          <w:rFonts w:hint="eastAsia"/>
          <w:sz w:val="32"/>
          <w:szCs w:val="32"/>
          <w:lang w:val="en-US" w:eastAsia="zh-CN"/>
        </w:rPr>
        <w:t>推进</w:t>
      </w:r>
      <w:r>
        <w:rPr>
          <w:rFonts w:hint="eastAsia" w:ascii="仿宋_GB2312" w:eastAsia="仿宋_GB2312"/>
          <w:sz w:val="32"/>
          <w:szCs w:val="32"/>
        </w:rPr>
        <w:t>具备条件的企事业单位开展自主评审。</w:t>
      </w:r>
      <w:r>
        <w:rPr>
          <w:rFonts w:hint="eastAsia" w:ascii="仿宋_GB2312" w:hAnsi="仿宋_GB2312" w:eastAsia="仿宋_GB2312" w:cs="仿宋_GB2312"/>
          <w:sz w:val="32"/>
          <w:szCs w:val="32"/>
          <w:lang w:val="zh-CN" w:eastAsia="zh-CN"/>
        </w:rPr>
        <w:t>创新人才评价机制，</w:t>
      </w:r>
      <w:r>
        <w:rPr>
          <w:rFonts w:hint="eastAsia"/>
          <w:sz w:val="32"/>
          <w:szCs w:val="32"/>
          <w:lang w:val="en-US" w:eastAsia="zh-CN"/>
        </w:rPr>
        <w:t>分专业领域完善评价标准，形成突出品德、能力和业绩的多元化评审机制。</w:t>
      </w:r>
    </w:p>
    <w:p w14:paraId="1C9B92D9">
      <w:pPr>
        <w:pStyle w:val="8"/>
        <w:bidi w:val="0"/>
        <w:rPr>
          <w:rFonts w:hint="eastAsia"/>
          <w:lang w:val="en-US" w:eastAsia="zh-CN"/>
        </w:rPr>
      </w:pPr>
      <w:r>
        <w:rPr>
          <w:rFonts w:hint="eastAsia"/>
          <w:lang w:val="en-US" w:eastAsia="zh-CN"/>
        </w:rPr>
        <w:t>二、创新专业技术人才培养模式</w:t>
      </w:r>
    </w:p>
    <w:p w14:paraId="324F2086">
      <w:pPr>
        <w:spacing w:line="600" w:lineRule="exact"/>
        <w:jc w:val="left"/>
        <w:rPr>
          <w:rFonts w:hint="eastAsia" w:ascii="仿宋" w:hAnsi="仿宋" w:eastAsia="仿宋" w:cs="仿宋"/>
          <w:b/>
          <w:bCs/>
          <w:szCs w:val="32"/>
          <w:lang w:val="en-US" w:eastAsia="zh-CN"/>
        </w:rPr>
      </w:pPr>
      <w:r>
        <w:rPr>
          <w:rFonts w:hint="eastAsia"/>
        </w:rPr>
        <w:t>加强</w:t>
      </w:r>
      <w:r>
        <w:rPr>
          <w:rFonts w:hint="eastAsia"/>
          <w:lang w:val="en-US" w:eastAsia="zh-CN"/>
        </w:rPr>
        <w:t>全</w:t>
      </w:r>
      <w:r>
        <w:rPr>
          <w:rFonts w:hint="eastAsia"/>
        </w:rPr>
        <w:t>市人才形势分析和需求预测，突出经济社会转型发展需求导向，加快培育重点行业、重点领域、战略性新兴产业人才。</w:t>
      </w:r>
      <w:r>
        <w:rPr>
          <w:rFonts w:ascii="仿宋" w:hAnsi="仿宋" w:eastAsia="仿宋"/>
          <w:szCs w:val="32"/>
        </w:rPr>
        <w:t>创新</w:t>
      </w:r>
      <w:r>
        <w:rPr>
          <w:rFonts w:hint="eastAsia" w:ascii="仿宋" w:hAnsi="仿宋" w:eastAsia="仿宋"/>
          <w:szCs w:val="32"/>
        </w:rPr>
        <w:t>本土</w:t>
      </w:r>
      <w:r>
        <w:rPr>
          <w:rFonts w:ascii="仿宋" w:hAnsi="仿宋" w:eastAsia="仿宋"/>
          <w:szCs w:val="32"/>
        </w:rPr>
        <w:t>人才培养方案</w:t>
      </w:r>
      <w:r>
        <w:rPr>
          <w:rFonts w:hint="eastAsia" w:ascii="仿宋" w:hAnsi="仿宋" w:eastAsia="仿宋"/>
          <w:szCs w:val="32"/>
        </w:rPr>
        <w:t>，</w:t>
      </w:r>
      <w:r>
        <w:rPr>
          <w:rFonts w:ascii="仿宋" w:hAnsi="仿宋" w:eastAsia="仿宋"/>
          <w:szCs w:val="32"/>
        </w:rPr>
        <w:t>健全人才系统培训体系</w:t>
      </w:r>
      <w:r>
        <w:rPr>
          <w:rFonts w:hint="eastAsia" w:ascii="仿宋" w:hAnsi="仿宋" w:eastAsia="仿宋"/>
          <w:szCs w:val="32"/>
        </w:rPr>
        <w:t>，鼓励和引导</w:t>
      </w:r>
      <w:r>
        <w:rPr>
          <w:rFonts w:ascii="仿宋" w:hAnsi="仿宋" w:eastAsia="仿宋"/>
          <w:szCs w:val="32"/>
        </w:rPr>
        <w:t>企业</w:t>
      </w:r>
      <w:r>
        <w:rPr>
          <w:rFonts w:hint="eastAsia" w:ascii="仿宋" w:hAnsi="仿宋" w:eastAsia="仿宋"/>
          <w:szCs w:val="32"/>
        </w:rPr>
        <w:t>灵活</w:t>
      </w:r>
      <w:r>
        <w:rPr>
          <w:rFonts w:ascii="仿宋" w:hAnsi="仿宋" w:eastAsia="仿宋"/>
          <w:szCs w:val="32"/>
        </w:rPr>
        <w:t>承担人才</w:t>
      </w:r>
      <w:r>
        <w:rPr>
          <w:rFonts w:hint="eastAsia" w:ascii="仿宋" w:hAnsi="仿宋" w:eastAsia="仿宋"/>
          <w:szCs w:val="32"/>
        </w:rPr>
        <w:t>实践</w:t>
      </w:r>
      <w:r>
        <w:rPr>
          <w:rFonts w:ascii="仿宋" w:hAnsi="仿宋" w:eastAsia="仿宋"/>
          <w:szCs w:val="32"/>
        </w:rPr>
        <w:t>培养</w:t>
      </w:r>
      <w:r>
        <w:rPr>
          <w:rFonts w:hint="eastAsia" w:ascii="仿宋" w:hAnsi="仿宋" w:eastAsia="仿宋"/>
          <w:szCs w:val="32"/>
        </w:rPr>
        <w:t>任务</w:t>
      </w:r>
      <w:r>
        <w:rPr>
          <w:rFonts w:ascii="仿宋" w:hAnsi="仿宋" w:eastAsia="仿宋"/>
          <w:szCs w:val="32"/>
        </w:rPr>
        <w:t>。促进高校、科研院所等机构与企业合作，加大双向信息沟通</w:t>
      </w:r>
      <w:r>
        <w:rPr>
          <w:rFonts w:hint="eastAsia" w:ascii="仿宋" w:hAnsi="仿宋" w:eastAsia="仿宋"/>
          <w:szCs w:val="32"/>
        </w:rPr>
        <w:t>力度，打通人才培养与市场需求的双通道。</w:t>
      </w:r>
      <w:r>
        <w:rPr>
          <w:rFonts w:hint="eastAsia"/>
        </w:rPr>
        <w:t>完善产学研用结合的协同育人模式，</w:t>
      </w:r>
      <w:r>
        <w:rPr>
          <w:rFonts w:hint="eastAsia"/>
          <w:lang w:val="en-US" w:eastAsia="zh-CN"/>
        </w:rPr>
        <w:t>提高</w:t>
      </w:r>
      <w:r>
        <w:rPr>
          <w:rFonts w:hint="eastAsia"/>
        </w:rPr>
        <w:t>人才创新意识和实践能力。</w:t>
      </w:r>
      <w:r>
        <w:rPr>
          <w:rFonts w:hint="eastAsia" w:ascii="仿宋" w:hAnsi="仿宋" w:eastAsia="仿宋"/>
          <w:szCs w:val="32"/>
        </w:rPr>
        <w:t>扩大人才培养对外开放力度</w:t>
      </w:r>
      <w:r>
        <w:rPr>
          <w:rFonts w:ascii="仿宋" w:hAnsi="仿宋" w:eastAsia="仿宋"/>
          <w:szCs w:val="32"/>
        </w:rPr>
        <w:t>，分层分批选送专业技术人才到</w:t>
      </w:r>
      <w:r>
        <w:rPr>
          <w:rFonts w:hint="eastAsia" w:ascii="仿宋" w:hAnsi="仿宋" w:eastAsia="仿宋"/>
          <w:szCs w:val="32"/>
        </w:rPr>
        <w:t>国内外</w:t>
      </w:r>
      <w:r>
        <w:rPr>
          <w:rFonts w:ascii="仿宋" w:hAnsi="仿宋" w:eastAsia="仿宋"/>
          <w:szCs w:val="32"/>
        </w:rPr>
        <w:t>高等院校、科研院所进行培养。</w:t>
      </w:r>
    </w:p>
    <w:p w14:paraId="270B8239">
      <w:pPr>
        <w:pStyle w:val="7"/>
        <w:bidi w:val="0"/>
        <w:ind w:left="0" w:leftChars="0" w:firstLine="0" w:firstLineChars="0"/>
        <w:jc w:val="center"/>
        <w:rPr>
          <w:rFonts w:hint="eastAsia" w:ascii="宋体" w:hAnsi="宋体" w:eastAsia="宋体" w:cs="宋体"/>
          <w:lang w:val="en-US" w:eastAsia="zh-CN"/>
        </w:rPr>
      </w:pPr>
      <w:bookmarkStart w:id="22" w:name="_Toc27461"/>
      <w:r>
        <w:rPr>
          <w:rFonts w:hint="eastAsia" w:ascii="宋体" w:hAnsi="宋体" w:eastAsia="宋体" w:cs="宋体"/>
          <w:lang w:val="en-US" w:eastAsia="zh-CN"/>
        </w:rPr>
        <w:t>第三节 加大高层次人才引进力度</w:t>
      </w:r>
      <w:bookmarkEnd w:id="22"/>
    </w:p>
    <w:p w14:paraId="7E0CB8FD">
      <w:pPr>
        <w:spacing w:line="600" w:lineRule="exact"/>
        <w:jc w:val="left"/>
        <w:rPr>
          <w:rFonts w:hint="default"/>
          <w:lang w:val="en-US" w:eastAsia="zh-CN"/>
        </w:rPr>
      </w:pPr>
      <w:r>
        <w:rPr>
          <w:rFonts w:hint="eastAsia" w:ascii="仿宋" w:hAnsi="仿宋" w:eastAsia="仿宋" w:cs="Times New Roman"/>
          <w:b w:val="0"/>
          <w:kern w:val="2"/>
          <w:sz w:val="32"/>
          <w:szCs w:val="32"/>
          <w:lang w:val="en-US" w:eastAsia="zh-CN" w:bidi="ar-SA"/>
        </w:rPr>
        <w:t>围绕产业发展需求，着力推进精准引才引智工作，</w:t>
      </w:r>
      <w:r>
        <w:rPr>
          <w:rFonts w:ascii="仿宋" w:hAnsi="仿宋" w:eastAsia="仿宋"/>
          <w:szCs w:val="32"/>
        </w:rPr>
        <w:t>坚持用好的机制</w:t>
      </w:r>
      <w:r>
        <w:rPr>
          <w:rFonts w:hint="eastAsia" w:ascii="仿宋" w:hAnsi="仿宋" w:eastAsia="仿宋"/>
          <w:szCs w:val="32"/>
        </w:rPr>
        <w:t>引</w:t>
      </w:r>
      <w:r>
        <w:rPr>
          <w:rFonts w:ascii="仿宋" w:hAnsi="仿宋" w:eastAsia="仿宋"/>
          <w:szCs w:val="32"/>
        </w:rPr>
        <w:t>才、好的平台聚才、好的</w:t>
      </w:r>
      <w:r>
        <w:rPr>
          <w:rFonts w:hint="eastAsia" w:ascii="仿宋" w:hAnsi="仿宋" w:eastAsia="仿宋"/>
          <w:szCs w:val="32"/>
        </w:rPr>
        <w:t>制度用</w:t>
      </w:r>
      <w:r>
        <w:rPr>
          <w:rFonts w:ascii="仿宋" w:hAnsi="仿宋" w:eastAsia="仿宋"/>
          <w:szCs w:val="32"/>
        </w:rPr>
        <w:t>才、好的</w:t>
      </w:r>
      <w:r>
        <w:rPr>
          <w:rFonts w:hint="eastAsia" w:ascii="仿宋" w:hAnsi="仿宋" w:eastAsia="仿宋"/>
          <w:szCs w:val="32"/>
        </w:rPr>
        <w:t>环境</w:t>
      </w:r>
      <w:r>
        <w:rPr>
          <w:rFonts w:ascii="仿宋" w:hAnsi="仿宋" w:eastAsia="仿宋"/>
          <w:szCs w:val="32"/>
        </w:rPr>
        <w:t>育才，</w:t>
      </w:r>
      <w:r>
        <w:rPr>
          <w:rFonts w:hint="eastAsia" w:ascii="仿宋" w:hAnsi="仿宋" w:eastAsia="仿宋"/>
          <w:szCs w:val="32"/>
        </w:rPr>
        <w:t>形成“以业聚才、以才兴业、产才互促”的良性循环体系</w:t>
      </w:r>
      <w:r>
        <w:rPr>
          <w:rFonts w:ascii="仿宋" w:hAnsi="仿宋" w:eastAsia="仿宋"/>
          <w:szCs w:val="32"/>
        </w:rPr>
        <w:t>。</w:t>
      </w:r>
    </w:p>
    <w:p w14:paraId="52B9DF40">
      <w:pPr>
        <w:pStyle w:val="8"/>
        <w:bidi w:val="0"/>
        <w:rPr>
          <w:rFonts w:hint="eastAsia"/>
          <w:lang w:val="en-US" w:eastAsia="zh-CN"/>
        </w:rPr>
      </w:pPr>
      <w:r>
        <w:rPr>
          <w:rFonts w:hint="eastAsia"/>
          <w:lang w:val="en-US" w:eastAsia="zh-CN"/>
        </w:rPr>
        <w:t>一、积极落实人才引进新政</w:t>
      </w:r>
    </w:p>
    <w:p w14:paraId="0E528E77">
      <w:pPr>
        <w:spacing w:line="600" w:lineRule="exact"/>
        <w:jc w:val="left"/>
        <w:rPr>
          <w:rFonts w:hint="eastAsia" w:ascii="仿宋_GB2312" w:eastAsia="仿宋_GB2312"/>
          <w:sz w:val="32"/>
          <w:szCs w:val="32"/>
        </w:rPr>
      </w:pPr>
      <w:r>
        <w:rPr>
          <w:rFonts w:hint="eastAsia" w:ascii="仿宋_GB2312" w:eastAsia="仿宋_GB2312"/>
          <w:sz w:val="32"/>
          <w:szCs w:val="32"/>
        </w:rPr>
        <w:t>积极落实《关于激励高层次人才助力高质量转型发展的若干意见（试行）》《晋城市吸引大学毕业生就业创业实施办法（试行）》</w:t>
      </w:r>
      <w:r>
        <w:rPr>
          <w:rFonts w:hint="eastAsia"/>
          <w:sz w:val="32"/>
          <w:szCs w:val="32"/>
          <w:lang w:val="en-US" w:eastAsia="zh-CN"/>
        </w:rPr>
        <w:t>等</w:t>
      </w:r>
      <w:r>
        <w:rPr>
          <w:rFonts w:hint="eastAsia" w:ascii="仿宋_GB2312" w:eastAsia="仿宋_GB2312"/>
          <w:sz w:val="32"/>
          <w:szCs w:val="32"/>
        </w:rPr>
        <w:t>人才新政。</w:t>
      </w:r>
      <w:r>
        <w:rPr>
          <w:rFonts w:hint="eastAsia" w:ascii="仿宋" w:hAnsi="仿宋" w:eastAsia="仿宋"/>
          <w:szCs w:val="32"/>
        </w:rPr>
        <w:t>聚焦重点产业链，通过“项目+人才”“平台+人才”等模式，继续加大力度引进能够突破关键技术、带动产业升级、培育高新产业和实现科技成果转化的“高精尖缺”创新型人才和团队。</w:t>
      </w:r>
      <w:r>
        <w:rPr>
          <w:rFonts w:hint="eastAsia" w:ascii="仿宋_GB2312" w:eastAsia="仿宋_GB2312"/>
          <w:sz w:val="32"/>
          <w:szCs w:val="32"/>
        </w:rPr>
        <w:t>鼓励企业全职引进博士、硕士和具有高级专业技术职称的人员</w:t>
      </w:r>
      <w:r>
        <w:rPr>
          <w:rFonts w:hint="eastAsia"/>
          <w:sz w:val="32"/>
          <w:szCs w:val="32"/>
          <w:lang w:eastAsia="zh-CN"/>
        </w:rPr>
        <w:t>。</w:t>
      </w:r>
      <w:r>
        <w:rPr>
          <w:rFonts w:hint="eastAsia" w:ascii="仿宋_GB2312" w:eastAsia="仿宋_GB2312"/>
          <w:sz w:val="32"/>
          <w:szCs w:val="32"/>
        </w:rPr>
        <w:t>对符合条件的</w:t>
      </w:r>
      <w:r>
        <w:rPr>
          <w:rFonts w:hint="eastAsia"/>
          <w:sz w:val="32"/>
          <w:szCs w:val="32"/>
          <w:lang w:val="en-US" w:eastAsia="zh-CN"/>
        </w:rPr>
        <w:t>企业和人员</w:t>
      </w:r>
      <w:r>
        <w:rPr>
          <w:rFonts w:hint="eastAsia" w:ascii="仿宋_GB2312" w:eastAsia="仿宋_GB2312"/>
          <w:sz w:val="32"/>
          <w:szCs w:val="32"/>
        </w:rPr>
        <w:t>，</w:t>
      </w:r>
      <w:r>
        <w:rPr>
          <w:rFonts w:hint="eastAsia"/>
          <w:sz w:val="32"/>
          <w:szCs w:val="32"/>
          <w:lang w:val="en-US" w:eastAsia="zh-CN"/>
        </w:rPr>
        <w:t>加大各级政府专项</w:t>
      </w:r>
      <w:r>
        <w:rPr>
          <w:rFonts w:hint="eastAsia" w:ascii="仿宋_GB2312" w:eastAsia="仿宋_GB2312"/>
          <w:sz w:val="32"/>
          <w:szCs w:val="32"/>
        </w:rPr>
        <w:t>奖补</w:t>
      </w:r>
      <w:r>
        <w:rPr>
          <w:rFonts w:hint="eastAsia"/>
          <w:sz w:val="32"/>
          <w:szCs w:val="32"/>
          <w:lang w:val="en-US" w:eastAsia="zh-CN"/>
        </w:rPr>
        <w:t>经费。加大对外交流培养力度，</w:t>
      </w:r>
      <w:r>
        <w:rPr>
          <w:rFonts w:hint="eastAsia" w:ascii="仿宋_GB2312" w:eastAsia="仿宋_GB2312"/>
          <w:sz w:val="32"/>
          <w:szCs w:val="32"/>
        </w:rPr>
        <w:t>积极推荐我市高层次人才参加</w:t>
      </w:r>
      <w:r>
        <w:rPr>
          <w:rFonts w:hint="eastAsia"/>
          <w:sz w:val="32"/>
          <w:szCs w:val="32"/>
          <w:lang w:val="en-US" w:eastAsia="zh-CN"/>
        </w:rPr>
        <w:t>国内外</w:t>
      </w:r>
      <w:r>
        <w:rPr>
          <w:rFonts w:hint="eastAsia" w:ascii="仿宋_GB2312" w:eastAsia="仿宋_GB2312"/>
          <w:sz w:val="32"/>
          <w:szCs w:val="32"/>
        </w:rPr>
        <w:t>的各类型高精尖人才选拔活动。</w:t>
      </w:r>
      <w:r>
        <w:rPr>
          <w:rFonts w:hint="eastAsia" w:ascii="仿宋" w:hAnsi="仿宋" w:eastAsia="仿宋"/>
          <w:szCs w:val="32"/>
        </w:rPr>
        <w:t>加强对</w:t>
      </w:r>
      <w:r>
        <w:rPr>
          <w:rFonts w:hint="eastAsia" w:ascii="仿宋" w:hAnsi="仿宋" w:eastAsia="仿宋"/>
          <w:szCs w:val="32"/>
          <w:lang w:val="en-US" w:eastAsia="zh-CN"/>
        </w:rPr>
        <w:t>晋城</w:t>
      </w:r>
      <w:r>
        <w:rPr>
          <w:rFonts w:hint="eastAsia" w:ascii="仿宋" w:hAnsi="仿宋" w:eastAsia="仿宋"/>
          <w:szCs w:val="32"/>
        </w:rPr>
        <w:t>籍在外优秀高校毕业生的跟踪服务，鼓励支持毕业生回乡创新创业。</w:t>
      </w:r>
    </w:p>
    <w:p w14:paraId="13459A41">
      <w:pPr>
        <w:pStyle w:val="8"/>
        <w:numPr>
          <w:ilvl w:val="0"/>
          <w:numId w:val="5"/>
        </w:numPr>
        <w:bidi w:val="0"/>
        <w:rPr>
          <w:rFonts w:hint="eastAsia"/>
          <w:lang w:val="en-US" w:eastAsia="zh-CN"/>
        </w:rPr>
      </w:pPr>
      <w:r>
        <w:rPr>
          <w:rFonts w:hint="eastAsia"/>
          <w:lang w:val="en-US" w:eastAsia="zh-CN"/>
        </w:rPr>
        <w:t>优化聚才载体平台建设</w:t>
      </w:r>
    </w:p>
    <w:p w14:paraId="55DBB9C1">
      <w:pPr>
        <w:ind w:left="0" w:leftChars="0" w:firstLine="640" w:firstLineChars="200"/>
        <w:rPr>
          <w:kern w:val="0"/>
          <w:lang w:bidi="ar"/>
        </w:rPr>
      </w:pPr>
      <w:r>
        <w:rPr>
          <w:rFonts w:hint="eastAsia"/>
        </w:rPr>
        <w:t>建立人才需求信息数据库，定期发布全</w:t>
      </w:r>
      <w:r>
        <w:rPr>
          <w:rFonts w:hint="eastAsia"/>
          <w:lang w:val="en-US" w:eastAsia="zh-CN"/>
        </w:rPr>
        <w:t>市</w:t>
      </w:r>
      <w:r>
        <w:rPr>
          <w:rFonts w:hint="eastAsia"/>
        </w:rPr>
        <w:t>高层次人才需求信息，构建基于云计算和大数据技术的人才信息系统。</w:t>
      </w:r>
      <w:r>
        <w:rPr>
          <w:rFonts w:hint="eastAsia"/>
          <w:kern w:val="0"/>
          <w:lang w:bidi="ar"/>
        </w:rPr>
        <w:t>加强院士工作站、博士后“两站”和海外人才工作站建设，充分发挥平台聚才作用。建立政府职能部门、企事业单位、社会组织共同参与的人才服务联盟，提供优质、高效、全面、精准服务。鼓励发展高端人才猎头等专业化服务机构，设立人才服务专员，为高层次人才提供“一对一”服务平台。</w:t>
      </w:r>
      <w:r>
        <w:rPr>
          <w:rFonts w:hint="eastAsia" w:ascii="仿宋" w:hAnsi="仿宋" w:eastAsia="仿宋"/>
          <w:szCs w:val="32"/>
        </w:rPr>
        <w:t>探索设立引才奖励资金，对成功引进急需紧缺高层次人才、团队的企事业单位和个人，给予5-8万元的引才奖励，营造“以才引才，全员引才”的良好氛围。</w:t>
      </w:r>
    </w:p>
    <w:p w14:paraId="30ECA968">
      <w:pPr>
        <w:pStyle w:val="8"/>
        <w:numPr>
          <w:ilvl w:val="0"/>
          <w:numId w:val="5"/>
        </w:numPr>
        <w:bidi w:val="0"/>
        <w:rPr>
          <w:rFonts w:hint="default"/>
          <w:lang w:val="en-US" w:eastAsia="zh-CN"/>
        </w:rPr>
      </w:pPr>
      <w:r>
        <w:rPr>
          <w:rFonts w:hint="eastAsia"/>
          <w:lang w:val="en-US" w:eastAsia="zh-CN"/>
        </w:rPr>
        <w:t>创新留才用才机制体制</w:t>
      </w:r>
    </w:p>
    <w:p w14:paraId="464E557A">
      <w:pPr>
        <w:pStyle w:val="13"/>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Times New Roman"/>
          <w:kern w:val="0"/>
          <w:sz w:val="32"/>
          <w:szCs w:val="22"/>
          <w:lang w:val="en-US" w:eastAsia="zh-CN" w:bidi="ar"/>
        </w:rPr>
      </w:pPr>
      <w:r>
        <w:rPr>
          <w:rFonts w:hint="eastAsia" w:cs="Times New Roman"/>
          <w:kern w:val="0"/>
          <w:sz w:val="32"/>
          <w:szCs w:val="22"/>
          <w:lang w:val="en-US" w:eastAsia="zh-CN" w:bidi="ar"/>
        </w:rPr>
        <w:t>实施《晋城市推进人才评价机制改革的指导意见》，拓宽引进人才渠道。创新人才激励机制，不断提高科研人员科技成果转让转化所得净收益比例，鼓励科研人员尽快将科研成果转化成生产力。持续做好特殊津贴专家推荐、省级学术技术带头人选拔、山西省新兴产业领军人才评选等工作，为高端专业技术人才提供更好的发展机遇与平台。</w:t>
      </w:r>
      <w:r>
        <w:rPr>
          <w:rFonts w:hint="eastAsia" w:ascii="仿宋_GB2312" w:hAnsi="仿宋_GB2312" w:eastAsia="仿宋_GB2312" w:cs="Times New Roman"/>
          <w:kern w:val="0"/>
          <w:sz w:val="32"/>
          <w:szCs w:val="22"/>
          <w:lang w:val="en-US" w:eastAsia="zh-CN" w:bidi="ar"/>
        </w:rPr>
        <w:t>落实高端人才生活和工作待遇，解决好其配偶</w:t>
      </w:r>
      <w:r>
        <w:rPr>
          <w:rFonts w:hint="eastAsia" w:cs="Times New Roman"/>
          <w:kern w:val="0"/>
          <w:sz w:val="32"/>
          <w:szCs w:val="22"/>
          <w:lang w:val="en-US" w:eastAsia="zh-CN" w:bidi="ar"/>
        </w:rPr>
        <w:t>就业、子女</w:t>
      </w:r>
      <w:r>
        <w:rPr>
          <w:rFonts w:hint="eastAsia" w:ascii="仿宋_GB2312" w:hAnsi="仿宋_GB2312" w:eastAsia="仿宋_GB2312" w:cs="Times New Roman"/>
          <w:kern w:val="0"/>
          <w:sz w:val="32"/>
          <w:szCs w:val="22"/>
          <w:lang w:val="en-US" w:eastAsia="zh-CN" w:bidi="ar"/>
        </w:rPr>
        <w:t>教育、医疗等需求，努力营造人才安心创新创业的</w:t>
      </w:r>
      <w:r>
        <w:rPr>
          <w:rFonts w:hint="eastAsia" w:cs="Times New Roman"/>
          <w:kern w:val="0"/>
          <w:sz w:val="32"/>
          <w:szCs w:val="22"/>
          <w:lang w:val="en-US" w:eastAsia="zh-CN" w:bidi="ar"/>
        </w:rPr>
        <w:t>软</w:t>
      </w:r>
      <w:r>
        <w:rPr>
          <w:rFonts w:hint="eastAsia" w:ascii="仿宋_GB2312" w:hAnsi="仿宋_GB2312" w:eastAsia="仿宋_GB2312" w:cs="Times New Roman"/>
          <w:kern w:val="0"/>
          <w:sz w:val="32"/>
          <w:szCs w:val="22"/>
          <w:lang w:val="en-US" w:eastAsia="zh-CN" w:bidi="ar"/>
        </w:rPr>
        <w:t>环境。遵循人才成长规律，探索建立鼓励创新、合理容错机制。全面提升人才公共服务能级，加快建设</w:t>
      </w:r>
      <w:r>
        <w:rPr>
          <w:rFonts w:hint="eastAsia" w:cs="Times New Roman"/>
          <w:kern w:val="0"/>
          <w:sz w:val="32"/>
          <w:szCs w:val="22"/>
          <w:lang w:val="en-US" w:eastAsia="zh-CN" w:bidi="ar"/>
        </w:rPr>
        <w:t>市级</w:t>
      </w:r>
      <w:r>
        <w:rPr>
          <w:rFonts w:hint="eastAsia" w:ascii="仿宋_GB2312" w:hAnsi="仿宋_GB2312" w:eastAsia="仿宋_GB2312" w:cs="Times New Roman"/>
          <w:kern w:val="0"/>
          <w:sz w:val="32"/>
          <w:szCs w:val="22"/>
          <w:lang w:val="en-US" w:eastAsia="zh-CN" w:bidi="ar"/>
        </w:rPr>
        <w:t>人才公寓，打造</w:t>
      </w:r>
      <w:r>
        <w:rPr>
          <w:rFonts w:hint="eastAsia" w:cs="Times New Roman"/>
          <w:kern w:val="0"/>
          <w:sz w:val="32"/>
          <w:szCs w:val="22"/>
          <w:lang w:val="en-US" w:eastAsia="zh-CN" w:bidi="ar"/>
        </w:rPr>
        <w:t>晋城</w:t>
      </w:r>
      <w:r>
        <w:rPr>
          <w:rFonts w:hint="eastAsia" w:ascii="仿宋_GB2312" w:hAnsi="仿宋_GB2312" w:eastAsia="仿宋_GB2312" w:cs="Times New Roman"/>
          <w:kern w:val="0"/>
          <w:sz w:val="32"/>
          <w:szCs w:val="22"/>
          <w:lang w:val="en-US" w:eastAsia="zh-CN" w:bidi="ar"/>
        </w:rPr>
        <w:t>人才服务品牌。将人才工作纳入</w:t>
      </w:r>
      <w:r>
        <w:rPr>
          <w:rFonts w:hint="eastAsia" w:cs="Times New Roman"/>
          <w:kern w:val="0"/>
          <w:sz w:val="32"/>
          <w:szCs w:val="22"/>
          <w:lang w:val="en-US" w:eastAsia="zh-CN" w:bidi="ar"/>
        </w:rPr>
        <w:t>我市</w:t>
      </w:r>
      <w:r>
        <w:rPr>
          <w:rFonts w:hint="eastAsia" w:ascii="仿宋_GB2312" w:hAnsi="仿宋_GB2312" w:eastAsia="仿宋_GB2312" w:cs="Times New Roman"/>
          <w:kern w:val="0"/>
          <w:sz w:val="32"/>
          <w:szCs w:val="22"/>
          <w:lang w:val="en-US" w:eastAsia="zh-CN" w:bidi="ar"/>
        </w:rPr>
        <w:t>年度目标责任专项考核，实行人才工作专项述职，严格人才领域政策落实、投入强度、数量结构、平台建设、发展环境等指标考核评价。</w:t>
      </w:r>
    </w:p>
    <w:p w14:paraId="47A70765">
      <w:pPr>
        <w:pStyle w:val="7"/>
        <w:bidi w:val="0"/>
        <w:ind w:left="0" w:leftChars="0" w:firstLine="0" w:firstLineChars="0"/>
        <w:jc w:val="center"/>
        <w:rPr>
          <w:rFonts w:hint="eastAsia" w:ascii="宋体" w:hAnsi="宋体" w:eastAsia="宋体" w:cs="宋体"/>
          <w:lang w:val="en-US" w:eastAsia="zh-CN"/>
        </w:rPr>
      </w:pPr>
      <w:bookmarkStart w:id="23" w:name="_Toc3234"/>
      <w:r>
        <w:rPr>
          <w:rFonts w:hint="eastAsia" w:ascii="宋体" w:hAnsi="宋体" w:eastAsia="宋体" w:cs="宋体"/>
          <w:lang w:val="en-US" w:eastAsia="zh-CN"/>
        </w:rPr>
        <w:t>第四节 健全人事人才管理制度</w:t>
      </w:r>
      <w:bookmarkEnd w:id="23"/>
    </w:p>
    <w:p w14:paraId="384CAF08">
      <w:pPr>
        <w:pStyle w:val="8"/>
        <w:bidi w:val="0"/>
        <w:rPr>
          <w:rFonts w:hint="eastAsia" w:cs="Times New Roman"/>
          <w:b w:val="0"/>
          <w:kern w:val="0"/>
          <w:sz w:val="32"/>
          <w:szCs w:val="22"/>
          <w:lang w:val="en-US" w:eastAsia="zh-CN" w:bidi="ar"/>
        </w:rPr>
      </w:pPr>
      <w:r>
        <w:rPr>
          <w:rFonts w:hint="eastAsia" w:ascii="仿宋_GB2312" w:hAnsi="仿宋_GB2312" w:eastAsia="仿宋_GB2312" w:cs="Times New Roman"/>
          <w:b w:val="0"/>
          <w:kern w:val="0"/>
          <w:sz w:val="32"/>
          <w:szCs w:val="22"/>
          <w:lang w:val="en-US" w:eastAsia="zh-CN" w:bidi="ar"/>
        </w:rPr>
        <w:t>创新人事人才管理制度，</w:t>
      </w:r>
      <w:r>
        <w:rPr>
          <w:rFonts w:hint="eastAsia" w:cs="Times New Roman"/>
          <w:b w:val="0"/>
          <w:kern w:val="0"/>
          <w:sz w:val="32"/>
          <w:szCs w:val="22"/>
          <w:lang w:val="en-US" w:eastAsia="zh-CN" w:bidi="ar"/>
        </w:rPr>
        <w:t>加力补齐人才发展短板，激</w:t>
      </w:r>
      <w:r>
        <w:rPr>
          <w:rFonts w:hint="eastAsia" w:ascii="仿宋_GB2312" w:hAnsi="仿宋_GB2312" w:eastAsia="仿宋_GB2312" w:cs="Times New Roman"/>
          <w:b w:val="0"/>
          <w:kern w:val="0"/>
          <w:sz w:val="32"/>
          <w:szCs w:val="22"/>
          <w:lang w:val="en-US" w:eastAsia="zh-CN" w:bidi="ar"/>
        </w:rPr>
        <w:t>发</w:t>
      </w:r>
      <w:r>
        <w:rPr>
          <w:rFonts w:hint="eastAsia" w:cs="Times New Roman"/>
          <w:b w:val="0"/>
          <w:kern w:val="0"/>
          <w:sz w:val="32"/>
          <w:szCs w:val="22"/>
          <w:lang w:val="en-US" w:eastAsia="zh-CN" w:bidi="ar"/>
        </w:rPr>
        <w:t>人才干事创业活力，提升人才使用效率，充分体现“第一资源”的支撑作用。</w:t>
      </w:r>
    </w:p>
    <w:p w14:paraId="7E9D9A11">
      <w:pPr>
        <w:pStyle w:val="8"/>
        <w:bidi w:val="0"/>
        <w:rPr>
          <w:rFonts w:hint="eastAsia"/>
          <w:lang w:val="en-US" w:eastAsia="zh-CN"/>
        </w:rPr>
      </w:pPr>
      <w:r>
        <w:rPr>
          <w:rFonts w:hint="eastAsia"/>
          <w:lang w:val="en-US" w:eastAsia="zh-CN"/>
        </w:rPr>
        <w:t>一、深化人事制度改革</w:t>
      </w:r>
    </w:p>
    <w:p w14:paraId="5696F4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eastAsia="仿宋_GB2312"/>
          <w:sz w:val="32"/>
          <w:szCs w:val="32"/>
        </w:rPr>
        <w:t>探索在以专业技术提供社会公益服务的事业单位主系列中设置特设岗位引进高层次紧缺专业人才</w:t>
      </w:r>
      <w:r>
        <w:rPr>
          <w:rFonts w:hint="eastAsia"/>
          <w:sz w:val="32"/>
          <w:szCs w:val="32"/>
          <w:lang w:val="en-US" w:eastAsia="zh-CN"/>
        </w:rPr>
        <w:t>办法措施。优化事业单位人员</w:t>
      </w:r>
      <w:r>
        <w:rPr>
          <w:rFonts w:hint="eastAsia" w:ascii="仿宋_GB2312" w:eastAsia="仿宋_GB2312"/>
          <w:sz w:val="32"/>
          <w:szCs w:val="32"/>
        </w:rPr>
        <w:t>培训内容体系，</w:t>
      </w:r>
      <w:r>
        <w:rPr>
          <w:rFonts w:hint="eastAsia"/>
          <w:sz w:val="32"/>
          <w:szCs w:val="32"/>
          <w:lang w:val="en-US" w:eastAsia="zh-CN"/>
        </w:rPr>
        <w:t>创新多样化培训方法，</w:t>
      </w:r>
      <w:r>
        <w:rPr>
          <w:rFonts w:hint="eastAsia" w:ascii="仿宋_GB2312" w:eastAsia="仿宋_GB2312"/>
          <w:sz w:val="32"/>
          <w:szCs w:val="32"/>
        </w:rPr>
        <w:t>推进事培训工作</w:t>
      </w:r>
      <w:r>
        <w:rPr>
          <w:rFonts w:hint="eastAsia"/>
          <w:sz w:val="32"/>
          <w:szCs w:val="32"/>
          <w:lang w:val="en-US" w:eastAsia="zh-CN"/>
        </w:rPr>
        <w:t>科学化和</w:t>
      </w:r>
      <w:r>
        <w:rPr>
          <w:rFonts w:hint="eastAsia" w:ascii="仿宋_GB2312" w:eastAsia="仿宋_GB2312"/>
          <w:sz w:val="32"/>
          <w:szCs w:val="32"/>
        </w:rPr>
        <w:t>规范化</w:t>
      </w:r>
      <w:r>
        <w:rPr>
          <w:rFonts w:hint="eastAsia"/>
          <w:sz w:val="32"/>
          <w:szCs w:val="32"/>
          <w:lang w:eastAsia="zh-CN"/>
        </w:rPr>
        <w:t>，</w:t>
      </w:r>
      <w:r>
        <w:rPr>
          <w:rFonts w:hint="eastAsia" w:ascii="仿宋_GB2312" w:eastAsia="仿宋_GB2312"/>
          <w:sz w:val="32"/>
          <w:szCs w:val="32"/>
        </w:rPr>
        <w:t>提升事业单位工作人员</w:t>
      </w:r>
      <w:r>
        <w:rPr>
          <w:rFonts w:hint="eastAsia"/>
          <w:sz w:val="32"/>
          <w:szCs w:val="32"/>
          <w:lang w:val="en-US" w:eastAsia="zh-CN"/>
        </w:rPr>
        <w:t>综合能力和水平</w:t>
      </w:r>
      <w:r>
        <w:rPr>
          <w:rFonts w:hint="eastAsia" w:ascii="仿宋_GB2312" w:eastAsia="仿宋_GB2312"/>
          <w:sz w:val="32"/>
          <w:szCs w:val="32"/>
        </w:rPr>
        <w:t>。鼓励事业单位工作人员创新创业、兼职创新，畅通事业单位人员出入渠道，有效激发事业单位工作人员创新活力。加强日常管理和年度报备，切实解决事业单位专业技术人员在创新创业中的实际困难，为事业单位专业技术人员投身创新、发展实践提供人事政策保障。</w:t>
      </w:r>
    </w:p>
    <w:p w14:paraId="54105013">
      <w:pPr>
        <w:pStyle w:val="8"/>
        <w:bidi w:val="0"/>
        <w:rPr>
          <w:rFonts w:hint="eastAsia"/>
          <w:lang w:val="en-US" w:eastAsia="zh-CN"/>
        </w:rPr>
      </w:pPr>
      <w:r>
        <w:rPr>
          <w:rFonts w:hint="eastAsia"/>
          <w:lang w:val="en-US" w:eastAsia="zh-CN"/>
        </w:rPr>
        <w:t>二、深化工资制度改革</w:t>
      </w:r>
    </w:p>
    <w:p w14:paraId="465883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仿宋_GB2312" w:eastAsia="仿宋_GB2312"/>
          <w:sz w:val="32"/>
          <w:szCs w:val="32"/>
        </w:rPr>
        <w:t>提高居民收入在国民收入分配中的比重、劳动报酬在初次分配中的比重，努力实现劳动报酬增长和劳动生产率提高同步。积极实施创业就业扶持政策，夯实城乡居民增收基础。建立工资增长的长效机制，着力提高工资性收入</w:t>
      </w:r>
      <w:r>
        <w:rPr>
          <w:rFonts w:hint="eastAsia"/>
          <w:sz w:val="32"/>
          <w:szCs w:val="32"/>
          <w:lang w:eastAsia="zh-CN"/>
        </w:rPr>
        <w:t>。</w:t>
      </w:r>
      <w:r>
        <w:rPr>
          <w:rFonts w:hint="eastAsia" w:ascii="仿宋_GB2312" w:eastAsia="仿宋_GB2312"/>
          <w:sz w:val="32"/>
          <w:szCs w:val="32"/>
        </w:rPr>
        <w:t>改进和完善企业工资协商机制，充分发挥工资指导线对企业工资分配的引导作用，保障企业职工工资正常增长和支付。鼓励企业针对技能人才特别是高技能领军人才实行年薪制、协议薪酬制、专项特殊奖励，探索实行中长期激励。建立农民工工资支付保障制度，加大劳动保障监察执法力度，健全预防拖欠职工工资机制，坚决查处克扣拖欠工资的不法行为，保障职工收入的及时到位。落实民生保障政策，持续提高转移性收入，进一步完善社会保障体系，努力扩大社保覆盖面，提升各项保障标准</w:t>
      </w:r>
      <w:r>
        <w:rPr>
          <w:rFonts w:hint="eastAsia"/>
          <w:sz w:val="32"/>
          <w:szCs w:val="32"/>
          <w:lang w:eastAsia="zh-CN"/>
        </w:rPr>
        <w:t>。</w:t>
      </w:r>
    </w:p>
    <w:p w14:paraId="0990FE3C">
      <w:pPr>
        <w:pStyle w:val="6"/>
        <w:bidi w:val="0"/>
        <w:ind w:left="0" w:leftChars="0" w:firstLine="0" w:firstLineChars="0"/>
        <w:jc w:val="center"/>
        <w:rPr>
          <w:rFonts w:hint="eastAsia" w:ascii="黑体" w:hAnsi="黑体" w:eastAsia="黑体" w:cs="黑体"/>
          <w:b w:val="0"/>
          <w:bCs/>
          <w:sz w:val="32"/>
          <w:szCs w:val="32"/>
          <w:lang w:val="en-US" w:eastAsia="zh-CN"/>
        </w:rPr>
      </w:pPr>
      <w:bookmarkStart w:id="24" w:name="_Hlk62324822"/>
    </w:p>
    <w:p w14:paraId="279CF9EC">
      <w:pPr>
        <w:rPr>
          <w:rFonts w:hint="eastAsia" w:ascii="黑体" w:hAnsi="黑体" w:eastAsia="黑体" w:cs="黑体"/>
          <w:b w:val="0"/>
          <w:bCs/>
          <w:sz w:val="32"/>
          <w:szCs w:val="32"/>
          <w:lang w:val="en-US" w:eastAsia="zh-CN"/>
        </w:rPr>
      </w:pPr>
    </w:p>
    <w:p w14:paraId="2BDE6443">
      <w:pPr>
        <w:pStyle w:val="2"/>
        <w:rPr>
          <w:rFonts w:hint="eastAsia" w:ascii="黑体" w:hAnsi="黑体" w:eastAsia="黑体" w:cs="黑体"/>
          <w:b w:val="0"/>
          <w:bCs/>
          <w:sz w:val="32"/>
          <w:szCs w:val="32"/>
          <w:lang w:val="en-US" w:eastAsia="zh-CN"/>
        </w:rPr>
      </w:pPr>
    </w:p>
    <w:p w14:paraId="4623CB4E">
      <w:pPr>
        <w:pStyle w:val="4"/>
        <w:rPr>
          <w:rFonts w:hint="eastAsia" w:ascii="黑体" w:hAnsi="黑体" w:eastAsia="黑体" w:cs="黑体"/>
          <w:b w:val="0"/>
          <w:bCs/>
          <w:sz w:val="32"/>
          <w:szCs w:val="32"/>
          <w:lang w:val="en-US" w:eastAsia="zh-CN"/>
        </w:rPr>
      </w:pPr>
    </w:p>
    <w:p w14:paraId="0BE70F85">
      <w:pPr>
        <w:pStyle w:val="5"/>
        <w:rPr>
          <w:rFonts w:hint="eastAsia"/>
          <w:lang w:val="en-US" w:eastAsia="zh-CN"/>
        </w:rPr>
      </w:pPr>
    </w:p>
    <w:p w14:paraId="6F70719C">
      <w:pPr>
        <w:pStyle w:val="6"/>
        <w:bidi w:val="0"/>
        <w:ind w:left="0" w:leftChars="0" w:firstLine="0" w:firstLineChars="0"/>
        <w:jc w:val="center"/>
        <w:rPr>
          <w:rFonts w:hint="eastAsia" w:ascii="黑体" w:hAnsi="黑体" w:eastAsia="黑体" w:cs="黑体"/>
          <w:b w:val="0"/>
          <w:bCs/>
          <w:sz w:val="32"/>
          <w:szCs w:val="32"/>
        </w:rPr>
      </w:pPr>
      <w:bookmarkStart w:id="25" w:name="_Toc25198"/>
      <w:r>
        <w:rPr>
          <w:rFonts w:hint="eastAsia" w:ascii="黑体" w:hAnsi="黑体" w:eastAsia="黑体" w:cs="黑体"/>
          <w:b w:val="0"/>
          <w:bCs/>
          <w:sz w:val="32"/>
          <w:szCs w:val="32"/>
          <w:lang w:val="en-US" w:eastAsia="zh-CN"/>
        </w:rPr>
        <w:t>第四章 持续</w:t>
      </w:r>
      <w:r>
        <w:rPr>
          <w:rFonts w:hint="eastAsia" w:ascii="黑体" w:hAnsi="黑体" w:eastAsia="黑体" w:cs="黑体"/>
          <w:b w:val="0"/>
          <w:bCs/>
          <w:sz w:val="32"/>
          <w:szCs w:val="32"/>
        </w:rPr>
        <w:t>健全多层次社会保障体系</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满足人民群众多样化保障需求</w:t>
      </w:r>
      <w:bookmarkEnd w:id="25"/>
    </w:p>
    <w:p w14:paraId="344C7FF5">
      <w:pPr>
        <w:pStyle w:val="12"/>
        <w:numPr>
          <w:ilvl w:val="0"/>
          <w:numId w:val="0"/>
        </w:numPr>
        <w:ind w:firstLine="640" w:firstLineChars="200"/>
        <w:rPr>
          <w:rFonts w:hint="eastAsia"/>
        </w:rPr>
      </w:pPr>
      <w:r>
        <w:rPr>
          <w:rFonts w:hint="eastAsia" w:ascii="Times New Roman" w:hAnsi="Times New Roman" w:eastAsia="仿宋_GB2312" w:cs="Times New Roman"/>
          <w:color w:val="auto"/>
          <w:kern w:val="0"/>
          <w:sz w:val="32"/>
          <w:szCs w:val="32"/>
          <w:lang w:val="zh-CN" w:eastAsia="zh-CN" w:bidi="ar-SA"/>
        </w:rPr>
        <w:t>实施全民参保计划，完善社会保障制度体系</w:t>
      </w:r>
      <w:r>
        <w:rPr>
          <w:rFonts w:hint="eastAsia" w:ascii="Times New Roman" w:hAnsi="Times New Roman" w:cs="Times New Roman"/>
          <w:color w:val="auto"/>
          <w:kern w:val="0"/>
          <w:sz w:val="32"/>
          <w:szCs w:val="32"/>
          <w:lang w:val="zh-CN" w:eastAsia="zh-CN" w:bidi="ar-SA"/>
        </w:rPr>
        <w:t>，</w:t>
      </w:r>
      <w:r>
        <w:rPr>
          <w:rFonts w:hint="eastAsia" w:ascii="Times New Roman" w:hAnsi="Times New Roman" w:eastAsia="仿宋_GB2312" w:cs="Times New Roman"/>
          <w:color w:val="auto"/>
          <w:kern w:val="0"/>
          <w:sz w:val="32"/>
          <w:szCs w:val="32"/>
          <w:lang w:val="zh-CN" w:eastAsia="zh-CN" w:bidi="ar-SA"/>
        </w:rPr>
        <w:t>健全覆盖全民、统筹城乡、公平统一、可持续的多层次社会保障体系</w:t>
      </w:r>
      <w:r>
        <w:rPr>
          <w:rFonts w:hint="eastAsia" w:ascii="Times New Roman" w:hAnsi="Times New Roman" w:cs="Times New Roman"/>
          <w:color w:val="auto"/>
          <w:kern w:val="0"/>
          <w:sz w:val="32"/>
          <w:szCs w:val="32"/>
          <w:lang w:val="zh-CN" w:eastAsia="zh-CN" w:bidi="ar-SA"/>
        </w:rPr>
        <w:t>，</w:t>
      </w:r>
      <w:r>
        <w:rPr>
          <w:rFonts w:hint="eastAsia" w:ascii="Times New Roman" w:hAnsi="Times New Roman" w:eastAsia="仿宋_GB2312" w:cs="Times New Roman"/>
          <w:color w:val="auto"/>
          <w:kern w:val="0"/>
          <w:sz w:val="32"/>
          <w:szCs w:val="32"/>
          <w:lang w:val="zh-CN" w:eastAsia="zh-CN" w:bidi="ar-SA"/>
        </w:rPr>
        <w:t>建立更加高效便捷的社会保险服务体系，提高全</w:t>
      </w:r>
      <w:r>
        <w:rPr>
          <w:rFonts w:hint="eastAsia" w:ascii="Times New Roman" w:hAnsi="Times New Roman" w:cs="Times New Roman"/>
          <w:color w:val="auto"/>
          <w:kern w:val="0"/>
          <w:sz w:val="32"/>
          <w:szCs w:val="32"/>
          <w:lang w:val="en-US" w:eastAsia="zh-CN" w:bidi="ar-SA"/>
        </w:rPr>
        <w:t>市</w:t>
      </w:r>
      <w:r>
        <w:rPr>
          <w:rFonts w:hint="eastAsia" w:ascii="Times New Roman" w:hAnsi="Times New Roman" w:eastAsia="仿宋_GB2312" w:cs="Times New Roman"/>
          <w:color w:val="auto"/>
          <w:kern w:val="0"/>
          <w:sz w:val="32"/>
          <w:szCs w:val="32"/>
          <w:lang w:val="zh-CN" w:eastAsia="zh-CN" w:bidi="ar-SA"/>
        </w:rPr>
        <w:t>社会保障服务水平。</w:t>
      </w:r>
    </w:p>
    <w:p w14:paraId="3BDC4E3C">
      <w:pPr>
        <w:pStyle w:val="7"/>
        <w:numPr>
          <w:ilvl w:val="0"/>
          <w:numId w:val="6"/>
        </w:numPr>
        <w:bidi w:val="0"/>
        <w:ind w:left="0" w:leftChars="0" w:firstLine="0" w:firstLineChars="0"/>
        <w:jc w:val="center"/>
        <w:rPr>
          <w:rFonts w:hint="eastAsia" w:ascii="宋体" w:hAnsi="宋体" w:eastAsia="宋体" w:cs="宋体"/>
        </w:rPr>
      </w:pPr>
      <w:bookmarkStart w:id="26" w:name="_Toc19220"/>
      <w:r>
        <w:rPr>
          <w:rFonts w:hint="eastAsia" w:ascii="宋体" w:hAnsi="宋体" w:eastAsia="宋体" w:cs="宋体"/>
        </w:rPr>
        <w:t>大力推进全民参保计划</w:t>
      </w:r>
      <w:bookmarkEnd w:id="26"/>
    </w:p>
    <w:bookmarkEnd w:id="24"/>
    <w:p w14:paraId="6432822A">
      <w:pPr>
        <w:pStyle w:val="12"/>
      </w:pPr>
      <w:r>
        <w:rPr>
          <w:rFonts w:hint="eastAsia" w:ascii="Times New Roman" w:hAnsi="Times New Roman" w:eastAsia="仿宋_GB2312" w:cs="Times New Roman"/>
          <w:color w:val="auto"/>
          <w:spacing w:val="6"/>
          <w:kern w:val="0"/>
          <w:sz w:val="32"/>
          <w:szCs w:val="32"/>
          <w:lang w:val="en-US" w:eastAsia="zh-CN"/>
        </w:rPr>
        <w:t>以进城务工人员、新业态从业人员、灵活就业人员为重点人群加强扩面工作，推动城镇各类用人单位和工薪收入者（职业人群，包括与用人单位签订劳动合同的农民工）参加职工养老保险。以非公有制企业、民办非企业组织、社会组织和个体经济组织等用人单位和职工为重点对象，着力推动失业保险参保扩面。</w:t>
      </w:r>
      <w:r>
        <w:rPr>
          <w:rFonts w:hint="eastAsia" w:ascii="Times New Roman" w:hAnsi="Times New Roman" w:cs="Times New Roman"/>
          <w:color w:val="auto"/>
          <w:spacing w:val="6"/>
          <w:kern w:val="0"/>
          <w:sz w:val="32"/>
          <w:szCs w:val="32"/>
          <w:lang w:val="en-US" w:eastAsia="zh-CN"/>
        </w:rPr>
        <w:t>持续推动放开在就业地参加社会保险的户籍限制</w:t>
      </w:r>
      <w:r>
        <w:rPr>
          <w:rFonts w:hint="eastAsia" w:ascii="Times New Roman" w:hAnsi="Times New Roman" w:eastAsia="仿宋_GB2312" w:cs="Times New Roman"/>
          <w:color w:val="auto"/>
          <w:spacing w:val="6"/>
          <w:kern w:val="0"/>
          <w:sz w:val="32"/>
          <w:szCs w:val="32"/>
          <w:lang w:val="en-US" w:eastAsia="zh-CN"/>
        </w:rPr>
        <w:t>。</w:t>
      </w:r>
      <w:r>
        <w:rPr>
          <w:rFonts w:hint="eastAsia" w:ascii="Times New Roman" w:hAnsi="Times New Roman" w:eastAsia="仿宋_GB2312" w:cs="Times New Roman"/>
          <w:color w:val="auto"/>
          <w:spacing w:val="6"/>
          <w:kern w:val="0"/>
          <w:sz w:val="32"/>
          <w:szCs w:val="32"/>
          <w:lang w:val="zh-CN" w:eastAsia="zh-CN"/>
        </w:rPr>
        <w:t>推动基本养老保险覆盖全体职工和适龄城乡居民，失业、工伤保险覆盖全部法定职业人员。</w:t>
      </w:r>
      <w:r>
        <w:rPr>
          <w:rFonts w:hint="default" w:ascii="Times New Roman" w:hAnsi="Times New Roman" w:eastAsia="仿宋_GB2312" w:cs="Times New Roman"/>
          <w:color w:val="auto"/>
          <w:spacing w:val="6"/>
          <w:kern w:val="0"/>
          <w:sz w:val="32"/>
          <w:szCs w:val="32"/>
          <w:lang w:val="zh-CN" w:eastAsia="zh-CN"/>
        </w:rPr>
        <w:t>实现</w:t>
      </w:r>
      <w:r>
        <w:rPr>
          <w:rFonts w:hint="default" w:ascii="Times New Roman" w:hAnsi="Times New Roman" w:eastAsia="仿宋_GB2312" w:cs="Times New Roman"/>
          <w:color w:val="auto"/>
          <w:spacing w:val="6"/>
          <w:kern w:val="0"/>
          <w:sz w:val="32"/>
          <w:szCs w:val="32"/>
          <w:lang w:val="en-US" w:eastAsia="zh-CN"/>
        </w:rPr>
        <w:t>工伤保险政策</w:t>
      </w:r>
      <w:r>
        <w:rPr>
          <w:rFonts w:hint="default" w:ascii="Times New Roman" w:hAnsi="Times New Roman" w:eastAsia="仿宋_GB2312" w:cs="Times New Roman"/>
          <w:color w:val="auto"/>
          <w:spacing w:val="6"/>
          <w:kern w:val="0"/>
          <w:sz w:val="32"/>
          <w:szCs w:val="32"/>
          <w:lang w:val="zh-CN" w:eastAsia="zh-CN"/>
        </w:rPr>
        <w:t>从企业职工</w:t>
      </w:r>
      <w:r>
        <w:rPr>
          <w:rFonts w:hint="default" w:ascii="Times New Roman" w:hAnsi="Times New Roman" w:eastAsia="仿宋_GB2312" w:cs="Times New Roman"/>
          <w:color w:val="auto"/>
          <w:kern w:val="0"/>
          <w:sz w:val="32"/>
          <w:szCs w:val="32"/>
          <w:lang w:val="zh-CN" w:eastAsia="zh-CN"/>
        </w:rPr>
        <w:t>向职业劳动者的广覆盖，将公务员和参照公务员法管理的事业单位、社会团体的工作人员全部纳入工伤保险制度</w:t>
      </w:r>
      <w:r>
        <w:rPr>
          <w:rFonts w:hint="default" w:ascii="Times New Roman" w:hAnsi="Times New Roman" w:eastAsia="仿宋_GB2312" w:cs="Times New Roman"/>
          <w:color w:val="auto"/>
          <w:kern w:val="0"/>
          <w:sz w:val="32"/>
          <w:szCs w:val="32"/>
          <w:lang w:val="en-US" w:eastAsia="zh-CN"/>
        </w:rPr>
        <w:t>。</w:t>
      </w:r>
    </w:p>
    <w:p w14:paraId="5188861D">
      <w:pPr>
        <w:pStyle w:val="7"/>
        <w:numPr>
          <w:ilvl w:val="0"/>
          <w:numId w:val="6"/>
        </w:numPr>
        <w:bidi w:val="0"/>
        <w:ind w:left="0" w:leftChars="0" w:firstLine="0" w:firstLineChars="0"/>
        <w:jc w:val="center"/>
        <w:rPr>
          <w:rFonts w:hint="eastAsia" w:ascii="宋体" w:hAnsi="宋体" w:eastAsia="宋体" w:cs="宋体"/>
        </w:rPr>
      </w:pPr>
      <w:bookmarkStart w:id="27" w:name="_Toc28170"/>
      <w:r>
        <w:rPr>
          <w:rFonts w:hint="eastAsia" w:ascii="宋体" w:hAnsi="宋体" w:eastAsia="宋体" w:cs="宋体"/>
        </w:rPr>
        <w:t>完善社会保障制度体系</w:t>
      </w:r>
      <w:bookmarkEnd w:id="27"/>
    </w:p>
    <w:p w14:paraId="48794871">
      <w:pPr>
        <w:pStyle w:val="8"/>
        <w:bidi w:val="0"/>
        <w:rPr>
          <w:rFonts w:hint="eastAsia" w:hAnsi="Times New Roman" w:cs="Times New Roman"/>
          <w:b w:val="0"/>
          <w:kern w:val="0"/>
          <w:sz w:val="32"/>
          <w:szCs w:val="32"/>
          <w:lang w:val="en-US" w:eastAsia="zh-CN" w:bidi="ar-SA"/>
        </w:rPr>
      </w:pPr>
      <w:r>
        <w:rPr>
          <w:rFonts w:ascii="仿宋_GB2312" w:hAnsi="Times New Roman" w:eastAsia="仿宋_GB2312" w:cs="Times New Roman"/>
          <w:b w:val="0"/>
          <w:kern w:val="0"/>
          <w:sz w:val="32"/>
          <w:szCs w:val="32"/>
          <w:lang w:val="en-US" w:eastAsia="zh-CN" w:bidi="ar-SA"/>
        </w:rPr>
        <w:t>深刻把握坚持和完善</w:t>
      </w:r>
      <w:r>
        <w:rPr>
          <w:rFonts w:hint="eastAsia" w:hAnsi="Times New Roman" w:cs="Times New Roman"/>
          <w:b w:val="0"/>
          <w:kern w:val="0"/>
          <w:sz w:val="32"/>
          <w:szCs w:val="32"/>
          <w:lang w:val="en-US" w:eastAsia="zh-CN" w:bidi="ar-SA"/>
        </w:rPr>
        <w:t>社会</w:t>
      </w:r>
      <w:r>
        <w:rPr>
          <w:rFonts w:ascii="仿宋_GB2312" w:hAnsi="Times New Roman" w:eastAsia="仿宋_GB2312" w:cs="Times New Roman"/>
          <w:b w:val="0"/>
          <w:kern w:val="0"/>
          <w:sz w:val="32"/>
          <w:szCs w:val="32"/>
          <w:lang w:val="en-US" w:eastAsia="zh-CN" w:bidi="ar-SA"/>
        </w:rPr>
        <w:t>保障制度的重要要求，明确要创新服务供给体系和机制，更好满足多层次多样化的民生需求</w:t>
      </w:r>
      <w:r>
        <w:rPr>
          <w:rFonts w:hint="eastAsia" w:hAnsi="Times New Roman" w:cs="Times New Roman"/>
          <w:b w:val="0"/>
          <w:kern w:val="0"/>
          <w:sz w:val="32"/>
          <w:szCs w:val="32"/>
          <w:lang w:val="en-US" w:eastAsia="zh-CN" w:bidi="ar-SA"/>
        </w:rPr>
        <w:t>。</w:t>
      </w:r>
    </w:p>
    <w:p w14:paraId="79A92699">
      <w:pPr>
        <w:pStyle w:val="8"/>
        <w:bidi w:val="0"/>
        <w:rPr>
          <w:rFonts w:hint="eastAsia" w:cs="Times New Roman"/>
          <w:lang w:val="en-US" w:eastAsia="zh-CN"/>
        </w:rPr>
      </w:pPr>
      <w:r>
        <w:rPr>
          <w:rFonts w:hint="eastAsia" w:cs="Times New Roman"/>
          <w:lang w:val="en-US" w:eastAsia="zh-CN"/>
        </w:rPr>
        <w:t>一、完善城乡居民基本养老保险制度</w:t>
      </w:r>
    </w:p>
    <w:p w14:paraId="334C2EDA">
      <w:pPr>
        <w:ind w:firstLine="640"/>
        <w:rPr>
          <w:rFonts w:cs="仿宋_GB2312"/>
        </w:rPr>
      </w:pPr>
      <w:r>
        <w:rPr>
          <w:rFonts w:hint="eastAsia" w:hAnsi="Times New Roman"/>
          <w:kern w:val="0"/>
          <w:szCs w:val="32"/>
        </w:rPr>
        <w:t>推动</w:t>
      </w:r>
      <w:r>
        <w:rPr>
          <w:rFonts w:hAnsi="Times New Roman"/>
          <w:kern w:val="0"/>
          <w:szCs w:val="32"/>
        </w:rPr>
        <w:t>实现城镇职工基本养老保险由制度全覆盖到法定人群全覆盖</w:t>
      </w:r>
      <w:r>
        <w:rPr>
          <w:rFonts w:hint="eastAsia" w:hAnsi="Times New Roman"/>
          <w:kern w:val="0"/>
          <w:szCs w:val="32"/>
        </w:rPr>
        <w:t>。</w:t>
      </w:r>
      <w:r>
        <w:rPr>
          <w:rFonts w:hAnsi="Times New Roman"/>
          <w:kern w:val="0"/>
          <w:szCs w:val="32"/>
        </w:rPr>
        <w:t>积极促进有意愿、有经济能力的灵活就业人员、新就业形态从业人员等参加企业职工养老保险。落实职工基本养老金合理调整机制，综合考虑物价上涨、职工平均工资增长和基金承受能力等因素，合理确定调整水平</w:t>
      </w:r>
      <w:r>
        <w:rPr>
          <w:rFonts w:hint="eastAsia" w:hAnsi="Times New Roman"/>
          <w:kern w:val="0"/>
          <w:szCs w:val="32"/>
          <w:lang w:eastAsia="zh-CN"/>
        </w:rPr>
        <w:t>，</w:t>
      </w:r>
      <w:r>
        <w:rPr>
          <w:rFonts w:hint="eastAsia" w:hAnsi="Times New Roman"/>
          <w:kern w:val="0"/>
          <w:szCs w:val="32"/>
          <w:lang w:val="en-US" w:eastAsia="zh-CN"/>
        </w:rPr>
        <w:t>逐步提高城乡居民养老保险待遇</w:t>
      </w:r>
      <w:r>
        <w:rPr>
          <w:rFonts w:hint="eastAsia" w:hAnsi="Times New Roman"/>
          <w:kern w:val="0"/>
          <w:szCs w:val="32"/>
        </w:rPr>
        <w:t>。</w:t>
      </w:r>
      <w:r>
        <w:rPr>
          <w:rFonts w:hAnsi="Times New Roman"/>
          <w:kern w:val="0"/>
          <w:szCs w:val="32"/>
        </w:rPr>
        <w:t>建立以账户制为基础、个人自愿参加、国家财政从税收上给予支持，资金形成市场化投资运营的个人养老金制度。</w:t>
      </w:r>
      <w:r>
        <w:rPr>
          <w:rFonts w:hint="eastAsia"/>
        </w:rPr>
        <w:t>建立健全职工基本养老保险遗属待遇制度和病残津贴制度。完善被征地农民参加养老保险政策，</w:t>
      </w:r>
      <w:r>
        <w:rPr>
          <w:rFonts w:hint="eastAsia" w:ascii="仿宋_GB2312" w:eastAsia="仿宋_GB2312"/>
          <w:sz w:val="32"/>
          <w:szCs w:val="32"/>
        </w:rPr>
        <w:t>坚持“先保后征”原则，建立“谁征地、谁负责，谁用地、谁承担”的筹资机制和被征地农民基本养老保险补贴预存制度，切实维护被征地农民切身利益。</w:t>
      </w:r>
      <w:r>
        <w:rPr>
          <w:rFonts w:hint="eastAsia"/>
        </w:rPr>
        <w:t>积极探索</w:t>
      </w:r>
      <w:r>
        <w:rPr>
          <w:rFonts w:hAnsi="Times New Roman"/>
          <w:kern w:val="0"/>
          <w:szCs w:val="32"/>
        </w:rPr>
        <w:t>城乡居民基本养老保险丧葬补助金制度。</w:t>
      </w:r>
      <w:r>
        <w:rPr>
          <w:rFonts w:hint="eastAsia"/>
        </w:rPr>
        <w:t>全面落实“标准适度、能兜住底、可承受、可持续”的城乡居民补充养老保险制度，持续</w:t>
      </w:r>
      <w:r>
        <w:rPr>
          <w:rFonts w:hint="eastAsia" w:cs="仿宋_GB2312"/>
        </w:rPr>
        <w:t>提升城乡居民特别是低收入群众养老保障水平。</w:t>
      </w:r>
    </w:p>
    <w:p w14:paraId="44AEDF75">
      <w:pPr>
        <w:pStyle w:val="8"/>
        <w:bidi w:val="0"/>
        <w:rPr>
          <w:rFonts w:hint="eastAsia"/>
        </w:rPr>
      </w:pPr>
      <w:r>
        <w:rPr>
          <w:rFonts w:hint="eastAsia"/>
          <w:lang w:val="en-US" w:eastAsia="zh-CN"/>
        </w:rPr>
        <w:t>二、</w:t>
      </w:r>
      <w:r>
        <w:t>建设更加积极的失业保险制度</w:t>
      </w:r>
    </w:p>
    <w:p w14:paraId="585998A9">
      <w:pPr>
        <w:ind w:firstLine="643"/>
        <w:rPr>
          <w:rFonts w:hint="default" w:eastAsia="仿宋_GB2312"/>
          <w:lang w:val="en-US" w:eastAsia="zh-CN"/>
        </w:rPr>
      </w:pPr>
      <w:r>
        <w:rPr>
          <w:rFonts w:hint="eastAsia"/>
        </w:rPr>
        <w:t>充分发挥失业保险保障基本民生的重要作用，持续扩大失业保险保障范围，确保失业人员待遇应发尽发、应保尽保。逐步将农民工、乡镇企业从业人员、完成职业培训或学业及服完义务兵役的青年求职者纳入失业保险范围。探索建立灵活就业人员参加失业保险新模式。加强失业动态监测，做好动态监测失业数据的比较分析，科学研判就业形势、岗位变化、失业趋势，进一步发挥好失业保险解决摩擦性失业的积极作用，防范和缓解失业可能带来的经济社会风险。建立与经济社会发展和人民生活水平、职工收入增长相适应的失业保险待遇正常调整机制，统筹提高失业人员失业保险待遇标准，将失业保险金标准计发比例由最低工资标准的80%逐步提高至90%</w:t>
      </w:r>
      <w:r>
        <w:rPr>
          <w:rFonts w:hint="eastAsia"/>
          <w:lang w:eastAsia="zh-CN"/>
        </w:rPr>
        <w:t>。</w:t>
      </w:r>
      <w:r>
        <w:rPr>
          <w:rFonts w:hint="eastAsia" w:ascii="仿宋_GB2312" w:hAnsi="仿宋_GB2312" w:eastAsia="仿宋_GB2312" w:cs="Times New Roman"/>
          <w:kern w:val="2"/>
          <w:sz w:val="32"/>
          <w:szCs w:val="22"/>
          <w:lang w:val="en-US" w:eastAsia="zh-CN" w:bidi="ar-SA"/>
        </w:rPr>
        <w:t>完善失业保险支持参保企</w:t>
      </w:r>
      <w:r>
        <w:rPr>
          <w:rFonts w:hint="eastAsia" w:ascii="Times New Roman" w:hAnsi="Times New Roman" w:eastAsia="仿宋_GB2312" w:cs="Times New Roman"/>
          <w:color w:val="auto"/>
          <w:kern w:val="0"/>
          <w:sz w:val="32"/>
          <w:szCs w:val="32"/>
          <w:lang w:val="en-US" w:eastAsia="zh-CN"/>
        </w:rPr>
        <w:t>业稳岗、参保职工提升技能政策体系。</w:t>
      </w:r>
      <w:r>
        <w:rPr>
          <w:rFonts w:hint="default" w:ascii="Times New Roman" w:hAnsi="Times New Roman" w:eastAsia="仿宋_GB2312" w:cs="Times New Roman"/>
          <w:color w:val="auto"/>
          <w:kern w:val="0"/>
          <w:sz w:val="32"/>
          <w:szCs w:val="32"/>
          <w:lang w:val="en-US" w:eastAsia="zh-CN"/>
        </w:rPr>
        <w:t>积极探索灵活就业人员参加失业保险新模式。</w:t>
      </w:r>
    </w:p>
    <w:p w14:paraId="53D4BB2B">
      <w:pPr>
        <w:pStyle w:val="8"/>
        <w:bidi w:val="0"/>
      </w:pPr>
      <w:r>
        <w:rPr>
          <w:rFonts w:hint="eastAsia"/>
          <w:lang w:val="en-US" w:eastAsia="zh-CN"/>
        </w:rPr>
        <w:t>三、</w:t>
      </w:r>
      <w:r>
        <w:t>建立多层次工伤保险制度体系</w:t>
      </w:r>
    </w:p>
    <w:p w14:paraId="4BE102E6">
      <w:pPr>
        <w:ind w:firstLine="643"/>
        <w:rPr>
          <w:rFonts w:hint="eastAsia" w:cs="仿宋_GB2312"/>
        </w:rPr>
      </w:pPr>
      <w:r>
        <w:rPr>
          <w:rFonts w:hint="eastAsia"/>
          <w:lang w:val="en-US" w:eastAsia="zh-CN"/>
        </w:rPr>
        <w:t>推进工伤</w:t>
      </w:r>
      <w:r>
        <w:rPr>
          <w:rFonts w:hint="eastAsia"/>
        </w:rPr>
        <w:t>保险参保扩面。启动国家机关和参照公务员法管理的事业单位、社会团体工作人员参加工伤保险。以高危行业为重点，持续扩大工伤保险覆盖范围。持续推进建设工程按项目参保，开展尘肺病重点行业工伤保险扩面专项行动。积极推进新就业形态人员职业伤害保障工作，探索开展外卖、网约车等平台企业从业人员职业伤害保障试点工作。健全工伤预防、补偿、康复“三位一体”制度。建立“大预防”工作机制，开展工伤预防工作。开展尘肺病重点行业工伤预防专项行动，进一步扩大工伤康复定点机构范围，推动“三位一体”制度均衡发展。建立工伤保险待遇动态调整机制</w:t>
      </w:r>
      <w:r>
        <w:rPr>
          <w:rFonts w:hint="eastAsia"/>
          <w:lang w:eastAsia="zh-CN"/>
        </w:rPr>
        <w:t>，</w:t>
      </w:r>
      <w:r>
        <w:rPr>
          <w:rFonts w:hint="eastAsia"/>
        </w:rPr>
        <w:t>综合考虑职工平均工资、物价指数、基本养老金等增长和基金支撑能力，</w:t>
      </w:r>
      <w:r>
        <w:rPr>
          <w:rFonts w:hint="eastAsia" w:cs="仿宋_GB2312"/>
        </w:rPr>
        <w:t>积极落实工伤职工伤残津贴、生活护理费和工亡职工供养亲属抚恤金调整政策。</w:t>
      </w:r>
    </w:p>
    <w:p w14:paraId="501F493B">
      <w:pPr>
        <w:pStyle w:val="7"/>
        <w:numPr>
          <w:ilvl w:val="0"/>
          <w:numId w:val="0"/>
        </w:numPr>
        <w:bidi w:val="0"/>
        <w:ind w:leftChars="0"/>
        <w:jc w:val="center"/>
        <w:rPr>
          <w:rFonts w:hint="default" w:ascii="宋体" w:hAnsi="宋体" w:eastAsia="宋体" w:cs="宋体"/>
          <w:lang w:val="en-US" w:eastAsia="zh-CN"/>
        </w:rPr>
      </w:pPr>
      <w:bookmarkStart w:id="28" w:name="_Toc23063"/>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 xml:space="preserve">节 </w:t>
      </w:r>
      <w:r>
        <w:rPr>
          <w:rFonts w:hint="eastAsia" w:ascii="宋体" w:hAnsi="宋体" w:eastAsia="宋体" w:cs="宋体"/>
          <w:lang w:val="en-US" w:eastAsia="zh-CN"/>
        </w:rPr>
        <w:t>加强社会保险基金风险防控</w:t>
      </w:r>
      <w:bookmarkEnd w:id="28"/>
    </w:p>
    <w:p w14:paraId="398B86F3">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健全政策、经办、信息、监督“四位一体”的基金管理风险防控体系，提升风险识别、监测、防控能力。</w:t>
      </w:r>
      <w:r>
        <w:rPr>
          <w:rFonts w:hint="eastAsia"/>
          <w:highlight w:val="none"/>
        </w:rPr>
        <w:t>建设独立于业务经办系统的社会保险基金风控管理信息系统，实现风控管理从“人控”到“机控”、从“线下”到“线上”、从“分散”到“集中”、从“结果控制”到“过程控制”的转变，提高社保基金安全支付能力，全面提高社保基金风险管理效率和水平。</w:t>
      </w:r>
      <w:r>
        <w:rPr>
          <w:rFonts w:hint="default" w:ascii="Times New Roman" w:hAnsi="Times New Roman" w:eastAsia="仿宋_GB2312" w:cs="Times New Roman"/>
          <w:sz w:val="32"/>
          <w:szCs w:val="32"/>
          <w:highlight w:val="none"/>
          <w:lang w:val="en-US" w:eastAsia="zh-CN"/>
        </w:rPr>
        <w:t>畅通行刑衔接机制，严厉打击违法行为。</w:t>
      </w:r>
      <w:r>
        <w:rPr>
          <w:rFonts w:hint="default" w:ascii="Times New Roman" w:hAnsi="Times New Roman" w:eastAsia="仿宋_GB2312" w:cs="Times New Roman"/>
          <w:color w:val="auto"/>
          <w:kern w:val="0"/>
          <w:sz w:val="32"/>
          <w:szCs w:val="32"/>
          <w:highlight w:val="none"/>
          <w:lang w:val="en-US" w:eastAsia="zh-CN"/>
        </w:rPr>
        <w:t>继续扩大城乡居民基本养老保险基金投资运营规模，促进基金保值增值。</w:t>
      </w:r>
    </w:p>
    <w:p w14:paraId="36D8509C">
      <w:pPr>
        <w:pStyle w:val="2"/>
        <w:rPr>
          <w:rFonts w:hint="default" w:ascii="Times New Roman" w:hAnsi="Times New Roman" w:eastAsia="仿宋_GB2312" w:cs="Times New Roman"/>
          <w:color w:val="auto"/>
          <w:kern w:val="0"/>
          <w:sz w:val="32"/>
          <w:szCs w:val="32"/>
          <w:highlight w:val="none"/>
          <w:lang w:val="en-US" w:eastAsia="zh-CN"/>
        </w:rPr>
      </w:pPr>
    </w:p>
    <w:p w14:paraId="3F660FE1">
      <w:pPr>
        <w:pStyle w:val="4"/>
        <w:rPr>
          <w:rFonts w:hint="eastAsia"/>
          <w:lang w:val="en-US" w:eastAsia="zh-CN"/>
        </w:rPr>
      </w:pPr>
    </w:p>
    <w:p w14:paraId="7A39DCCE">
      <w:pPr>
        <w:pStyle w:val="6"/>
        <w:bidi w:val="0"/>
        <w:ind w:left="0" w:leftChars="0" w:firstLine="0" w:firstLineChars="0"/>
        <w:jc w:val="center"/>
        <w:rPr>
          <w:rFonts w:hint="eastAsia" w:ascii="黑体" w:hAnsi="黑体" w:eastAsia="黑体" w:cs="黑体"/>
          <w:b w:val="0"/>
          <w:bCs/>
          <w:sz w:val="32"/>
          <w:szCs w:val="32"/>
          <w:lang w:val="en-US" w:eastAsia="zh-CN"/>
        </w:rPr>
      </w:pPr>
      <w:bookmarkStart w:id="29" w:name="_Toc7602"/>
      <w:r>
        <w:rPr>
          <w:rFonts w:hint="eastAsia" w:ascii="黑体" w:hAnsi="黑体" w:eastAsia="黑体" w:cs="黑体"/>
          <w:b w:val="0"/>
          <w:bCs/>
          <w:sz w:val="32"/>
          <w:szCs w:val="32"/>
          <w:lang w:val="en-US" w:eastAsia="zh-CN"/>
        </w:rPr>
        <w:t>第五章 着力完善规则支持体系，构建和谐劳动关系</w:t>
      </w:r>
      <w:bookmarkEnd w:id="29"/>
    </w:p>
    <w:p w14:paraId="191CABED">
      <w:pPr>
        <w:ind w:firstLine="640"/>
        <w:rPr>
          <w:rFonts w:hint="eastAsia" w:ascii="LinTimes" w:hAnsi="LinTimes" w:cs="LinTimes"/>
          <w:kern w:val="0"/>
        </w:rPr>
      </w:pPr>
      <w:r>
        <w:rPr>
          <w:rFonts w:hint="eastAsia" w:ascii="LinTimes" w:hAnsi="LinTimes" w:cs="LinTimes"/>
          <w:kern w:val="0"/>
        </w:rPr>
        <w:t>健全劳动关系协调机制，保障劳动者待遇和权益，有效预防和化解劳动关系领域重大风险。提高劳动保障监察执法服务效能，构建公正合理、规范有序、合作共赢、和谐稳定的劳动关系。</w:t>
      </w:r>
    </w:p>
    <w:p w14:paraId="2BEDE0B4">
      <w:pPr>
        <w:pStyle w:val="7"/>
        <w:bidi w:val="0"/>
        <w:ind w:left="0" w:leftChars="0" w:firstLine="0" w:firstLineChars="0"/>
        <w:jc w:val="center"/>
        <w:rPr>
          <w:rFonts w:hint="eastAsia" w:ascii="宋体" w:hAnsi="宋体" w:eastAsia="宋体" w:cs="宋体"/>
        </w:rPr>
      </w:pPr>
      <w:bookmarkStart w:id="30" w:name="_Toc32654"/>
      <w:r>
        <w:rPr>
          <w:rFonts w:hint="eastAsia" w:ascii="宋体" w:hAnsi="宋体" w:eastAsia="宋体" w:cs="宋体"/>
        </w:rPr>
        <w:t>第一节 健全劳动关系协调体制</w:t>
      </w:r>
      <w:bookmarkEnd w:id="30"/>
    </w:p>
    <w:p w14:paraId="68C3818E">
      <w:pPr>
        <w:pStyle w:val="8"/>
        <w:bidi w:val="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落实劳动合同制度，</w:t>
      </w:r>
      <w:r>
        <w:rPr>
          <w:rFonts w:hint="eastAsia" w:cs="仿宋_GB2312"/>
          <w:b w:val="0"/>
          <w:kern w:val="2"/>
          <w:sz w:val="32"/>
          <w:szCs w:val="32"/>
          <w:lang w:val="en-US" w:eastAsia="zh-CN" w:bidi="ar-SA"/>
        </w:rPr>
        <w:t>优化</w:t>
      </w:r>
      <w:r>
        <w:rPr>
          <w:rFonts w:hint="eastAsia" w:ascii="仿宋_GB2312" w:hAnsi="仿宋_GB2312" w:eastAsia="仿宋_GB2312" w:cs="仿宋_GB2312"/>
          <w:b w:val="0"/>
          <w:kern w:val="2"/>
          <w:sz w:val="32"/>
          <w:szCs w:val="32"/>
          <w:lang w:val="en-US" w:eastAsia="zh-CN" w:bidi="ar-SA"/>
        </w:rPr>
        <w:t>劳动制度建设，</w:t>
      </w:r>
      <w:r>
        <w:rPr>
          <w:rFonts w:hint="eastAsia" w:cs="仿宋_GB2312"/>
          <w:b w:val="0"/>
          <w:kern w:val="2"/>
          <w:sz w:val="32"/>
          <w:szCs w:val="32"/>
          <w:lang w:val="en-US" w:eastAsia="zh-CN" w:bidi="ar-SA"/>
        </w:rPr>
        <w:t>深入推行集体协商和集体合同制度，加</w:t>
      </w:r>
      <w:r>
        <w:rPr>
          <w:rFonts w:hint="eastAsia" w:ascii="仿宋_GB2312" w:hAnsi="仿宋_GB2312" w:eastAsia="仿宋_GB2312" w:cs="仿宋_GB2312"/>
          <w:b w:val="0"/>
          <w:kern w:val="2"/>
          <w:sz w:val="32"/>
          <w:szCs w:val="32"/>
          <w:lang w:val="en-US" w:eastAsia="zh-CN" w:bidi="ar-SA"/>
        </w:rPr>
        <w:t>强协调劳动关系三方机制建设，全面保障劳动者各项合法权益。</w:t>
      </w:r>
    </w:p>
    <w:p w14:paraId="40C73278">
      <w:pPr>
        <w:pStyle w:val="8"/>
        <w:bidi w:val="0"/>
        <w:rPr>
          <w:rFonts w:hint="default" w:eastAsia="仿宋_GB2312"/>
          <w:lang w:val="en-US" w:eastAsia="zh-CN"/>
        </w:rPr>
      </w:pPr>
      <w:r>
        <w:rPr>
          <w:rFonts w:hint="eastAsia"/>
        </w:rPr>
        <w:t>一、</w:t>
      </w:r>
      <w:r>
        <w:rPr>
          <w:rFonts w:hint="eastAsia"/>
          <w:lang w:val="en-US" w:eastAsia="zh-CN"/>
        </w:rPr>
        <w:t>全面完善落实劳动合同制度</w:t>
      </w:r>
    </w:p>
    <w:p w14:paraId="35CCE6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LinTimes" w:hAnsi="LinTimes" w:cs="LinTimes"/>
          <w:kern w:val="0"/>
        </w:rPr>
      </w:pPr>
      <w:r>
        <w:rPr>
          <w:rFonts w:hint="eastAsia" w:ascii="LinTimes" w:hAnsi="LinTimes" w:cs="LinTimes"/>
          <w:kern w:val="0"/>
        </w:rPr>
        <w:t>巩固大中型企业劳动合同签订率，提高小企业和农民工劳动合同签订率，合同签订率不低于</w:t>
      </w:r>
      <w:r>
        <w:rPr>
          <w:rFonts w:hint="eastAsia" w:ascii="LinTimes" w:hAnsi="LinTimes" w:cs="LinTimes"/>
          <w:kern w:val="0"/>
          <w:highlight w:val="cyan"/>
        </w:rPr>
        <w:t>93%</w:t>
      </w:r>
      <w:r>
        <w:rPr>
          <w:rFonts w:hint="eastAsia" w:ascii="LinTimes" w:hAnsi="LinTimes" w:cs="LinTimes"/>
          <w:kern w:val="0"/>
        </w:rPr>
        <w:t>。</w:t>
      </w:r>
      <w:r>
        <w:rPr>
          <w:rFonts w:hint="eastAsia"/>
        </w:rPr>
        <w:t>督促企业依法与建立劳动关系的劳动者签订劳动合同</w:t>
      </w:r>
      <w:r>
        <w:rPr>
          <w:rFonts w:hint="eastAsia"/>
          <w:lang w:eastAsia="zh-CN"/>
        </w:rPr>
        <w:t>，</w:t>
      </w:r>
      <w:r>
        <w:rPr>
          <w:rFonts w:hint="eastAsia" w:ascii="仿宋_GB2312" w:hAnsi="仿宋_GB2312" w:eastAsia="仿宋_GB2312" w:cs="仿宋_GB2312"/>
          <w:sz w:val="32"/>
          <w:szCs w:val="32"/>
          <w:lang w:val="en-US" w:eastAsia="zh-CN"/>
        </w:rPr>
        <w:t>保障劳动者的劳动报酬、社会保险、休息休假、劳动安全卫生、职业培训等基本权益，促进劳动关系和谐稳定。</w:t>
      </w:r>
      <w:r>
        <w:rPr>
          <w:rFonts w:hint="eastAsia"/>
        </w:rPr>
        <w:t>完善就业失业登记、社会保险登记、劳动用工备案信息共享和业务协同工作制度</w:t>
      </w:r>
      <w:r>
        <w:t>。</w:t>
      </w:r>
      <w:r>
        <w:rPr>
          <w:rFonts w:hint="eastAsia"/>
          <w:lang w:val="en-US" w:eastAsia="zh-CN"/>
        </w:rPr>
        <w:t>着力</w:t>
      </w:r>
      <w:r>
        <w:rPr>
          <w:rFonts w:hint="eastAsia" w:ascii="LinTimes" w:hAnsi="LinTimes" w:cs="LinTimes"/>
          <w:kern w:val="0"/>
        </w:rPr>
        <w:t>推进劳动用工备案制度建设，建立全市统一的劳动用工数据库，加强对企业劳动用工的动态管理</w:t>
      </w:r>
      <w:r>
        <w:rPr>
          <w:rFonts w:hint="eastAsia" w:ascii="LinTimes" w:hAnsi="LinTimes" w:cs="LinTimes"/>
          <w:kern w:val="0"/>
          <w:lang w:eastAsia="zh-CN"/>
        </w:rPr>
        <w:t>，</w:t>
      </w:r>
      <w:r>
        <w:rPr>
          <w:rFonts w:hint="eastAsia" w:ascii="LinTimes" w:hAnsi="LinTimes" w:cs="LinTimes"/>
          <w:kern w:val="0"/>
        </w:rPr>
        <w:t>指导共享用工规范健康发展。</w:t>
      </w:r>
      <w:r>
        <w:rPr>
          <w:rFonts w:hint="eastAsia" w:ascii="LinTimes" w:hAnsi="LinTimes" w:cs="LinTimes"/>
          <w:kern w:val="0"/>
          <w:lang w:val="en-US" w:eastAsia="zh-CN"/>
        </w:rPr>
        <w:t>探索建立新经济领域、新就业形态劳动关系相关制度，全面</w:t>
      </w:r>
      <w:r>
        <w:rPr>
          <w:rFonts w:hint="eastAsia" w:ascii="LinTimes" w:hAnsi="LinTimes" w:cs="LinTimes"/>
          <w:kern w:val="0"/>
        </w:rPr>
        <w:t>维护新就业形态劳动者权益。</w:t>
      </w:r>
      <w:r>
        <w:rPr>
          <w:rFonts w:hint="eastAsia"/>
        </w:rPr>
        <w:t>加强对劳务派遣的日常监管</w:t>
      </w:r>
      <w:r>
        <w:t>，</w:t>
      </w:r>
      <w:r>
        <w:rPr>
          <w:rFonts w:hint="eastAsia"/>
        </w:rPr>
        <w:t>进一步规范非全日制、劳务承揽、劳务外包用工和企业裁员行为。</w:t>
      </w:r>
    </w:p>
    <w:p w14:paraId="48CF0836">
      <w:pPr>
        <w:pStyle w:val="8"/>
        <w:bidi w:val="0"/>
        <w:rPr>
          <w:rFonts w:hint="eastAsia" w:cs="Times New Roman"/>
          <w:lang w:val="en-US" w:eastAsia="zh-CN"/>
        </w:rPr>
      </w:pPr>
      <w:r>
        <w:rPr>
          <w:rFonts w:hint="eastAsia" w:cs="Times New Roman"/>
          <w:lang w:val="en-US" w:eastAsia="zh-CN"/>
        </w:rPr>
        <w:t>二、深入推行集体协商和集体合同制度</w:t>
      </w:r>
    </w:p>
    <w:p w14:paraId="20790DC3">
      <w:pPr>
        <w:bidi w:val="0"/>
        <w:rPr>
          <w:rFonts w:hint="eastAsia"/>
        </w:rPr>
      </w:pPr>
      <w:r>
        <w:rPr>
          <w:rFonts w:hint="eastAsia"/>
          <w:lang w:val="en-US" w:eastAsia="zh-CN"/>
        </w:rPr>
        <w:t>发挥政府在推进集体协商中的规划协调、完善政策、规范引导的作用，积极推进行业集体协商和区域性集体协商，提高集体协商的实效性，扩大集体合同覆盖率，提高集体合同的质量。加强集体协商代表的培训和集体协商过程的指导，提高集体合同履行质量。重点推进非公有制企业工资</w:t>
      </w:r>
      <w:r>
        <w:rPr>
          <w:rFonts w:hint="eastAsia"/>
        </w:rPr>
        <w:t>集体协商</w:t>
      </w:r>
      <w:r>
        <w:rPr>
          <w:rFonts w:hint="eastAsia"/>
          <w:lang w:eastAsia="zh-CN"/>
        </w:rPr>
        <w:t>，</w:t>
      </w:r>
      <w:r>
        <w:rPr>
          <w:rFonts w:hint="eastAsia" w:ascii="LinTimes" w:hAnsi="LinTimes" w:cs="LinTimes"/>
          <w:kern w:val="0"/>
          <w:lang w:val="en-US" w:eastAsia="zh-CN"/>
        </w:rPr>
        <w:t>指导企业运用集体协商机制建立符合企业实际的工资收入分配制度，</w:t>
      </w:r>
      <w:r>
        <w:rPr>
          <w:rFonts w:hint="eastAsia"/>
          <w:lang w:val="en-US" w:eastAsia="zh-CN"/>
        </w:rPr>
        <w:t>实现人力资源市场与行业企业效益相匹配的良性促进机制。</w:t>
      </w:r>
      <w:r>
        <w:rPr>
          <w:rFonts w:hint="eastAsia"/>
        </w:rPr>
        <w:t>深入推行</w:t>
      </w:r>
      <w:r>
        <w:rPr>
          <w:rFonts w:hint="eastAsia"/>
          <w:lang w:val="en-US" w:eastAsia="zh-CN"/>
        </w:rPr>
        <w:t>企业裁员</w:t>
      </w:r>
      <w:r>
        <w:rPr>
          <w:rFonts w:hint="eastAsia"/>
        </w:rPr>
        <w:t>集体协商机制，规范企业规模裁员行为。</w:t>
      </w:r>
      <w:r>
        <w:rPr>
          <w:rFonts w:hint="eastAsia"/>
          <w:lang w:val="en-US" w:eastAsia="zh-CN"/>
        </w:rPr>
        <w:t>加大在</w:t>
      </w:r>
      <w:r>
        <w:rPr>
          <w:rFonts w:hint="eastAsia"/>
        </w:rPr>
        <w:t>经济结构调整和国有企业改革</w:t>
      </w:r>
      <w:r>
        <w:rPr>
          <w:rFonts w:hint="eastAsia"/>
          <w:lang w:val="en-US" w:eastAsia="zh-CN"/>
        </w:rPr>
        <w:t>中集体协商指导，</w:t>
      </w:r>
      <w:r>
        <w:rPr>
          <w:rFonts w:hint="eastAsia"/>
        </w:rPr>
        <w:t>妥善处理劳动关系，维护劳动者合法权益。</w:t>
      </w:r>
    </w:p>
    <w:p w14:paraId="40A66DA4">
      <w:pPr>
        <w:pStyle w:val="8"/>
        <w:bidi w:val="0"/>
        <w:rPr>
          <w:rFonts w:hint="eastAsia"/>
        </w:rPr>
      </w:pPr>
      <w:r>
        <w:rPr>
          <w:rFonts w:hint="eastAsia"/>
          <w:lang w:val="en-US" w:eastAsia="zh-CN"/>
        </w:rPr>
        <w:t>三、</w:t>
      </w:r>
      <w:r>
        <w:rPr>
          <w:rFonts w:hint="eastAsia"/>
        </w:rPr>
        <w:t>加强协调劳动关系三方机制建设</w:t>
      </w:r>
    </w:p>
    <w:p w14:paraId="3AA4D373">
      <w:pPr>
        <w:numPr>
          <w:ilvl w:val="0"/>
          <w:numId w:val="0"/>
        </w:numPr>
        <w:ind w:left="0" w:leftChars="0" w:firstLine="640" w:firstLineChars="200"/>
        <w:rPr>
          <w:rFonts w:hint="default" w:ascii="LinTimes" w:hAnsi="LinTimes" w:eastAsia="仿宋_GB2312" w:cs="LinTimes"/>
          <w:kern w:val="0"/>
          <w:lang w:val="en-US" w:eastAsia="zh-CN"/>
        </w:rPr>
      </w:pPr>
      <w:r>
        <w:rPr>
          <w:rFonts w:hint="eastAsia" w:ascii="LinTimes" w:hAnsi="LinTimes" w:cs="LinTimes"/>
          <w:kern w:val="0"/>
          <w:lang w:val="en-US" w:eastAsia="zh-CN"/>
        </w:rPr>
        <w:t>全面</w:t>
      </w:r>
      <w:r>
        <w:rPr>
          <w:rFonts w:hint="eastAsia" w:ascii="LinTimes" w:hAnsi="LinTimes" w:cs="LinTimes"/>
          <w:kern w:val="0"/>
        </w:rPr>
        <w:t>实施劳动关系“和谐同行”能力提升行动</w:t>
      </w:r>
      <w:r>
        <w:rPr>
          <w:rFonts w:hint="eastAsia" w:ascii="LinTimes" w:hAnsi="LinTimes" w:cs="LinTimes"/>
          <w:kern w:val="0"/>
          <w:lang w:eastAsia="zh-CN"/>
        </w:rPr>
        <w:t>，推动劳动关系工作方式方法创新，改进和完善对企业劳动用工、工资分配的指导和服务，扎实推进劳动关系治理体系和治理能力建设</w:t>
      </w:r>
      <w:r>
        <w:rPr>
          <w:rFonts w:hint="eastAsia" w:ascii="LinTimes" w:hAnsi="LinTimes" w:cs="LinTimes"/>
          <w:kern w:val="0"/>
        </w:rPr>
        <w:t>。</w:t>
      </w:r>
      <w:r>
        <w:rPr>
          <w:rFonts w:hint="eastAsia" w:ascii="LinTimes" w:hAnsi="LinTimes" w:cs="LinTimes"/>
          <w:kern w:val="0"/>
          <w:lang w:val="en-US" w:eastAsia="zh-CN"/>
        </w:rPr>
        <w:t>健全三方机制建设，完善组织模式，</w:t>
      </w:r>
      <w:r>
        <w:rPr>
          <w:rFonts w:hint="eastAsia" w:ascii="LinTimes" w:hAnsi="LinTimes" w:cs="LinTimes"/>
          <w:kern w:val="0"/>
        </w:rPr>
        <w:t>明确三方的职责、任务、运行程序及工作规则</w:t>
      </w:r>
      <w:r>
        <w:rPr>
          <w:rFonts w:hint="eastAsia" w:ascii="LinTimes" w:hAnsi="LinTimes" w:cs="LinTimes"/>
          <w:kern w:val="0"/>
          <w:lang w:eastAsia="zh-CN"/>
        </w:rPr>
        <w:t>，</w:t>
      </w:r>
      <w:r>
        <w:rPr>
          <w:rFonts w:hint="eastAsia" w:ascii="LinTimes" w:hAnsi="LinTimes" w:cs="LinTimes"/>
          <w:kern w:val="0"/>
        </w:rPr>
        <w:t>充分发挥三方机制在保企业、保就业、保稳定中的独特作用</w:t>
      </w:r>
      <w:r>
        <w:rPr>
          <w:rFonts w:hint="eastAsia" w:ascii="LinTimes" w:hAnsi="LinTimes" w:cs="LinTimes"/>
          <w:kern w:val="0"/>
          <w:lang w:eastAsia="zh-CN"/>
        </w:rPr>
        <w:t>。</w:t>
      </w:r>
      <w:r>
        <w:rPr>
          <w:rFonts w:hint="eastAsia" w:ascii="LinTimes" w:hAnsi="LinTimes" w:cs="LinTimes"/>
          <w:kern w:val="0"/>
        </w:rPr>
        <w:t>加强劳动关系网络组织建设，加</w:t>
      </w:r>
      <w:r>
        <w:rPr>
          <w:rFonts w:hint="eastAsia" w:ascii="LinTimes" w:hAnsi="LinTimes" w:cs="LinTimes"/>
          <w:kern w:val="0"/>
          <w:lang w:val="en-US" w:eastAsia="zh-CN"/>
        </w:rPr>
        <w:t>大</w:t>
      </w:r>
      <w:r>
        <w:rPr>
          <w:rFonts w:hint="eastAsia" w:ascii="LinTimes" w:hAnsi="LinTimes" w:cs="LinTimes"/>
          <w:kern w:val="0"/>
        </w:rPr>
        <w:t>三方的信息沟通和协调处置工作</w:t>
      </w:r>
      <w:r>
        <w:rPr>
          <w:rFonts w:hint="eastAsia" w:ascii="LinTimes" w:hAnsi="LinTimes" w:cs="LinTimes"/>
          <w:kern w:val="0"/>
          <w:lang w:val="en-US" w:eastAsia="zh-CN"/>
        </w:rPr>
        <w:t>力度</w:t>
      </w:r>
      <w:r>
        <w:rPr>
          <w:rFonts w:hint="eastAsia" w:ascii="LinTimes" w:hAnsi="LinTimes" w:cs="LinTimes"/>
          <w:kern w:val="0"/>
        </w:rPr>
        <w:t>，</w:t>
      </w:r>
      <w:r>
        <w:rPr>
          <w:rFonts w:hint="eastAsia" w:ascii="LinTimes" w:hAnsi="LinTimes" w:cs="LinTimes"/>
          <w:kern w:val="0"/>
          <w:lang w:val="en-US" w:eastAsia="zh-CN"/>
        </w:rPr>
        <w:t>着力打造劳动关系协调员、劳动关系社会组织、劳动人事争议调解组织，引导社会各方力量积极参与构建和谐劳动关系，</w:t>
      </w:r>
      <w:r>
        <w:rPr>
          <w:rFonts w:hint="eastAsia" w:ascii="LinTimes" w:hAnsi="LinTimes" w:cs="LinTimes"/>
          <w:kern w:val="0"/>
        </w:rPr>
        <w:t>力求把劳动关系的预警预防和矛盾化解在基层。</w:t>
      </w:r>
    </w:p>
    <w:p w14:paraId="67AFA225">
      <w:pPr>
        <w:pStyle w:val="7"/>
        <w:bidi w:val="0"/>
        <w:ind w:left="0" w:leftChars="0" w:firstLine="0" w:firstLineChars="0"/>
        <w:jc w:val="center"/>
        <w:rPr>
          <w:rFonts w:hint="eastAsia" w:ascii="宋体" w:hAnsi="宋体" w:eastAsia="宋体" w:cs="宋体"/>
        </w:rPr>
      </w:pPr>
      <w:bookmarkStart w:id="31" w:name="_Toc18461"/>
      <w:r>
        <w:rPr>
          <w:rFonts w:hint="eastAsia" w:ascii="宋体" w:hAnsi="宋体" w:eastAsia="宋体" w:cs="宋体"/>
        </w:rPr>
        <w:t>第二节 加强调解仲裁效能建设</w:t>
      </w:r>
      <w:bookmarkEnd w:id="31"/>
    </w:p>
    <w:p w14:paraId="457230A2">
      <w:pPr>
        <w:ind w:firstLine="640"/>
        <w:rPr>
          <w:rFonts w:hint="eastAsia" w:eastAsia="仿宋_GB2312"/>
          <w:lang w:eastAsia="zh-CN"/>
        </w:rPr>
      </w:pPr>
      <w:r>
        <w:rPr>
          <w:rFonts w:hint="eastAsia" w:ascii="LinTimes" w:hAnsi="LinTimes" w:cs="LinTimes"/>
          <w:kern w:val="0"/>
          <w:lang w:val="en-US" w:eastAsia="zh-CN"/>
        </w:rPr>
        <w:t>优化</w:t>
      </w:r>
      <w:r>
        <w:rPr>
          <w:rFonts w:hint="eastAsia" w:ascii="LinTimes" w:hAnsi="LinTimes" w:cs="LinTimes"/>
          <w:kern w:val="0"/>
        </w:rPr>
        <w:t>调解、仲裁、诉讼衔接机制，建立健全多元处理工作格局</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调动</w:t>
      </w:r>
      <w:r>
        <w:rPr>
          <w:rFonts w:hint="eastAsia"/>
          <w:shd w:val="clear" w:color="auto" w:fill="FFFFFF"/>
        </w:rPr>
        <w:t>加强办案指导，加强调解仲裁队伍建设，不断完善调解仲裁制度体系</w:t>
      </w:r>
      <w:r>
        <w:rPr>
          <w:rFonts w:hint="eastAsia"/>
          <w:shd w:val="clear" w:color="auto" w:fill="FFFFFF"/>
          <w:lang w:eastAsia="zh-CN"/>
        </w:rPr>
        <w:t>，</w:t>
      </w:r>
      <w:r>
        <w:rPr>
          <w:rFonts w:hint="eastAsia"/>
          <w:shd w:val="clear" w:color="auto" w:fill="FFFFFF"/>
        </w:rPr>
        <w:t>提高劳动人事争议调解仲裁规范化、标准化、专业化水平</w:t>
      </w:r>
      <w:r>
        <w:rPr>
          <w:rFonts w:hint="eastAsia"/>
          <w:shd w:val="clear" w:color="auto" w:fill="FFFFFF"/>
          <w:lang w:eastAsia="zh-CN"/>
        </w:rPr>
        <w:t>。</w:t>
      </w:r>
    </w:p>
    <w:p w14:paraId="2E05BE31">
      <w:pPr>
        <w:pStyle w:val="8"/>
        <w:bidi w:val="0"/>
        <w:rPr>
          <w:rFonts w:hint="default"/>
          <w:lang w:val="en-US"/>
        </w:rPr>
      </w:pPr>
      <w:r>
        <w:rPr>
          <w:rFonts w:hint="eastAsia"/>
        </w:rPr>
        <w:t>一、</w:t>
      </w:r>
      <w:r>
        <w:rPr>
          <w:rFonts w:hint="eastAsia" w:ascii="仿宋_GB2312" w:hAnsi="仿宋_GB2312" w:eastAsia="仿宋_GB2312" w:cs="仿宋_GB2312"/>
          <w:b/>
          <w:bCs/>
          <w:sz w:val="32"/>
          <w:szCs w:val="32"/>
          <w:lang w:val="en-US" w:eastAsia="zh-CN"/>
        </w:rPr>
        <w:t>完善劳动人事争议调解仲裁</w:t>
      </w:r>
      <w:r>
        <w:rPr>
          <w:rFonts w:hint="eastAsia" w:cs="仿宋_GB2312"/>
          <w:b/>
          <w:bCs/>
          <w:sz w:val="32"/>
          <w:szCs w:val="32"/>
          <w:lang w:val="en-US" w:eastAsia="zh-CN"/>
        </w:rPr>
        <w:t>制度体系</w:t>
      </w:r>
    </w:p>
    <w:p w14:paraId="12BF4A90">
      <w:pPr>
        <w:pStyle w:val="2"/>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充分</w:t>
      </w:r>
      <w:r>
        <w:rPr>
          <w:rFonts w:hint="default" w:ascii="Times New Roman" w:hAnsi="Times New Roman" w:eastAsia="仿宋_GB2312" w:cs="Times New Roman"/>
          <w:kern w:val="2"/>
          <w:sz w:val="32"/>
          <w:szCs w:val="32"/>
          <w:lang w:val="en-US" w:eastAsia="zh-CN" w:bidi="ar-SA"/>
        </w:rPr>
        <w:t>发挥协商、调解在争议处理中的基础性作用，指导用人单位完善协商规则，建立内部申诉和协商回应制度。建立符合企事业单位特点的争议预防调解机制，强化属地化解机制，健全集体劳动人事争议应急调解制度。推动人民调解、行政调解、专业性行业性调解、仲裁调解、司法调解衔接联动。完善仲裁准司法制度体系，创新办案机制，加强办案指导监督，提升仲裁终结率。加强仲裁标准化建设，建立仲裁办案管理和评价机制。</w:t>
      </w:r>
    </w:p>
    <w:p w14:paraId="1E2BF89B">
      <w:pPr>
        <w:pStyle w:val="8"/>
        <w:bidi w:val="0"/>
        <w:rPr>
          <w:rFonts w:hint="eastAsia"/>
        </w:rPr>
      </w:pPr>
      <w:r>
        <w:rPr>
          <w:rFonts w:hint="eastAsia"/>
          <w:lang w:eastAsia="zh-CN"/>
        </w:rPr>
        <w:t>二、</w:t>
      </w:r>
      <w:r>
        <w:rPr>
          <w:rFonts w:hint="eastAsia"/>
        </w:rPr>
        <w:t>加强劳动人事争议处理效能建设</w:t>
      </w:r>
    </w:p>
    <w:p w14:paraId="6EDE3F96">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LinTimes" w:hAnsi="LinTimes" w:cs="LinTimes"/>
          <w:kern w:val="0"/>
        </w:rPr>
      </w:pPr>
      <w:r>
        <w:rPr>
          <w:rFonts w:hint="eastAsia" w:ascii="LinTimes" w:hAnsi="LinTimes" w:cs="LinTimes"/>
          <w:kern w:val="0"/>
        </w:rPr>
        <w:t>切实发挥基层调解组织的职能作用，建立健全劳动人事争议多元处理机制，加强劳动人事争议调解专业化、规范化建设，争取各县、市（区）劳动人事争议调解成功率达到60％以上。加强集体劳动人事争议处理，建立健全集体劳动人事争议案件应急调解机制和仲裁特别程序，妥善处理欠薪、欠保、规模裁员、经济补偿金等引发的集体劳动人事争议案件。继续推进仲裁机构实体化建设，按照标准化仲裁院建设的要求建立高效、规范的仲裁实体化办事机构。</w:t>
      </w:r>
      <w:r>
        <w:rPr>
          <w:rFonts w:hint="default" w:ascii="Times New Roman" w:hAnsi="Times New Roman" w:eastAsia="仿宋_GB2312" w:cs="Times New Roman"/>
          <w:kern w:val="2"/>
          <w:sz w:val="32"/>
          <w:szCs w:val="32"/>
          <w:lang w:val="en-US" w:eastAsia="zh-CN" w:bidi="ar-SA"/>
        </w:rPr>
        <w:t>加强</w:t>
      </w:r>
      <w:r>
        <w:rPr>
          <w:rFonts w:hint="eastAsia" w:ascii="Times New Roman" w:hAnsi="Times New Roman" w:eastAsia="仿宋_GB2312" w:cs="Times New Roman"/>
          <w:kern w:val="2"/>
          <w:sz w:val="32"/>
          <w:szCs w:val="32"/>
          <w:lang w:val="en-US" w:eastAsia="zh-CN" w:bidi="ar-SA"/>
        </w:rPr>
        <w:t>调解</w:t>
      </w:r>
      <w:r>
        <w:rPr>
          <w:rFonts w:hint="default" w:ascii="Times New Roman" w:hAnsi="Times New Roman" w:eastAsia="仿宋_GB2312" w:cs="Times New Roman"/>
          <w:kern w:val="2"/>
          <w:sz w:val="32"/>
          <w:szCs w:val="32"/>
          <w:lang w:val="en-US" w:eastAsia="zh-CN" w:bidi="ar-SA"/>
        </w:rPr>
        <w:t>仲裁机构队伍建设，充实一线专职调解员、仲裁员力量，制订仲裁员分类管理办法，完善</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准司法</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职业保障机制。</w:t>
      </w:r>
    </w:p>
    <w:p w14:paraId="6ECC3218">
      <w:pPr>
        <w:pStyle w:val="7"/>
        <w:bidi w:val="0"/>
        <w:ind w:left="0" w:leftChars="0" w:firstLine="0" w:firstLineChars="0"/>
        <w:jc w:val="center"/>
        <w:rPr>
          <w:rFonts w:hint="eastAsia" w:ascii="宋体" w:hAnsi="宋体" w:eastAsia="宋体" w:cs="宋体"/>
        </w:rPr>
      </w:pPr>
      <w:bookmarkStart w:id="32" w:name="_Toc1913"/>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节 完善劳动保障监察体系</w:t>
      </w:r>
      <w:bookmarkEnd w:id="32"/>
    </w:p>
    <w:p w14:paraId="250ACC72">
      <w:pPr>
        <w:bidi w:val="0"/>
        <w:rPr>
          <w:rFonts w:hint="default"/>
          <w:lang w:val="en-US" w:eastAsia="zh-CN"/>
        </w:rPr>
      </w:pPr>
      <w:r>
        <w:rPr>
          <w:rFonts w:hint="eastAsia"/>
          <w:lang w:val="en-US" w:eastAsia="zh-CN"/>
        </w:rPr>
        <w:t>加大劳动保障监察工作力度，加强劳动保障监察制度体系建设、基础能力建设，全力保障维护劳动者合法权益。</w:t>
      </w:r>
    </w:p>
    <w:p w14:paraId="5F40AFCE">
      <w:pPr>
        <w:pStyle w:val="8"/>
        <w:bidi w:val="0"/>
        <w:rPr>
          <w:rFonts w:hint="eastAsia"/>
        </w:rPr>
      </w:pPr>
      <w:r>
        <w:rPr>
          <w:rFonts w:hint="eastAsia"/>
          <w:lang w:val="en-US" w:eastAsia="zh-CN"/>
        </w:rPr>
        <w:t>一</w:t>
      </w:r>
      <w:r>
        <w:rPr>
          <w:rFonts w:hint="eastAsia"/>
          <w:lang w:eastAsia="zh-CN"/>
        </w:rPr>
        <w:t>、</w:t>
      </w:r>
      <w:r>
        <w:rPr>
          <w:rFonts w:hint="eastAsia"/>
        </w:rPr>
        <w:t>加强劳动保障监察执法能力建设</w:t>
      </w:r>
    </w:p>
    <w:p w14:paraId="58BAA56B">
      <w:pPr>
        <w:spacing w:line="580" w:lineRule="exact"/>
        <w:ind w:firstLine="640"/>
        <w:rPr>
          <w:rFonts w:hint="eastAsia" w:ascii="LinTimes" w:hAnsi="LinTimes" w:cs="LinTimes"/>
          <w:kern w:val="0"/>
        </w:rPr>
      </w:pPr>
      <w:r>
        <w:rPr>
          <w:rFonts w:hint="eastAsia" w:ascii="LinTimes" w:hAnsi="LinTimes" w:cs="LinTimes"/>
          <w:kern w:val="0"/>
        </w:rPr>
        <w:t>推进智慧监察系统建设，完善监控预警功能</w:t>
      </w:r>
      <w:r>
        <w:rPr>
          <w:rFonts w:hint="eastAsia" w:ascii="LinTimes" w:hAnsi="LinTimes" w:cs="LinTimes"/>
          <w:kern w:val="0"/>
          <w:lang w:eastAsia="zh-CN"/>
        </w:rPr>
        <w:t>。</w:t>
      </w:r>
      <w:r>
        <w:rPr>
          <w:rFonts w:hint="eastAsia" w:ascii="LinTimes" w:hAnsi="LinTimes" w:cs="LinTimes"/>
          <w:kern w:val="0"/>
          <w:lang w:val="en-US" w:eastAsia="zh-CN"/>
        </w:rPr>
        <w:t>建立健全动态服务体制机制，</w:t>
      </w:r>
      <w:r>
        <w:rPr>
          <w:rFonts w:hint="eastAsia" w:ascii="LinTimes" w:hAnsi="LinTimes" w:cs="LinTimes"/>
          <w:kern w:val="0"/>
        </w:rPr>
        <w:t>切实提高劳动保障监察执法</w:t>
      </w:r>
      <w:r>
        <w:rPr>
          <w:rFonts w:hint="eastAsia" w:ascii="LinTimes" w:hAnsi="LinTimes" w:cs="LinTimes"/>
          <w:kern w:val="0"/>
          <w:lang w:val="en-US" w:eastAsia="zh-CN"/>
        </w:rPr>
        <w:t>过程</w:t>
      </w:r>
      <w:r>
        <w:rPr>
          <w:rFonts w:hint="eastAsia" w:ascii="LinTimes" w:hAnsi="LinTimes" w:cs="LinTimes"/>
          <w:kern w:val="0"/>
        </w:rPr>
        <w:t>服务效能</w:t>
      </w:r>
      <w:r>
        <w:rPr>
          <w:rFonts w:hint="eastAsia" w:ascii="LinTimes" w:hAnsi="LinTimes" w:cs="LinTimes"/>
          <w:kern w:val="0"/>
          <w:lang w:eastAsia="zh-CN"/>
        </w:rPr>
        <w:t>。</w:t>
      </w:r>
      <w:r>
        <w:rPr>
          <w:rFonts w:hint="default" w:ascii="Times New Roman" w:hAnsi="Times New Roman" w:eastAsia="仿宋_GB2312" w:cs="Times New Roman"/>
          <w:kern w:val="2"/>
          <w:sz w:val="32"/>
          <w:szCs w:val="32"/>
          <w:lang w:val="en-US" w:eastAsia="zh-CN" w:bidi="ar-SA"/>
        </w:rPr>
        <w:t>加强劳动保障监察制度建设，完善劳动保障守法诚信体系，规范企业守法诚信等级评价、重大违法行为社会公布、拖欠农民工工资</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黑名单</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管理。</w:t>
      </w:r>
      <w:r>
        <w:rPr>
          <w:rFonts w:hint="eastAsia"/>
        </w:rPr>
        <w:t>全面推进劳动保障监察网格化、网络化管理，实现市县乡</w:t>
      </w:r>
      <w:r>
        <w:t>三</w:t>
      </w:r>
      <w:r>
        <w:rPr>
          <w:rFonts w:hint="eastAsia"/>
        </w:rPr>
        <w:t>级全覆盖，提高劳动保障监察执法信息化管理水平。</w:t>
      </w:r>
      <w:r>
        <w:rPr>
          <w:rFonts w:hint="eastAsia"/>
          <w:lang w:val="en-US" w:eastAsia="zh-CN"/>
        </w:rPr>
        <w:t>畅通劳动者维权投诉渠道，实现联网联动，提高维权执法效力。</w:t>
      </w:r>
      <w:r>
        <w:rPr>
          <w:rFonts w:hint="eastAsia" w:ascii="LinTimes" w:hAnsi="LinTimes" w:cs="LinTimes"/>
          <w:kern w:val="0"/>
        </w:rPr>
        <w:t>实施分级分类培训，指导各地加强执法装备配备，提升执法规范化、标准化、专业化水平。</w:t>
      </w:r>
    </w:p>
    <w:p w14:paraId="4598247E">
      <w:pPr>
        <w:pStyle w:val="8"/>
        <w:bidi w:val="0"/>
        <w:rPr>
          <w:rFonts w:hint="eastAsia"/>
        </w:rPr>
      </w:pPr>
      <w:r>
        <w:rPr>
          <w:rFonts w:hint="eastAsia"/>
          <w:lang w:val="en-US" w:eastAsia="zh-CN"/>
        </w:rPr>
        <w:t>二</w:t>
      </w:r>
      <w:r>
        <w:rPr>
          <w:rFonts w:hint="eastAsia"/>
        </w:rPr>
        <w:t>、积极构筑拖欠农民工工资的惩防体系</w:t>
      </w:r>
    </w:p>
    <w:p w14:paraId="37E4D4DA">
      <w:pPr>
        <w:ind w:firstLine="640"/>
        <w:rPr>
          <w:rFonts w:hint="eastAsia" w:ascii="LinTimes" w:hAnsi="LinTimes" w:cs="LinTimes"/>
          <w:kern w:val="0"/>
        </w:rPr>
      </w:pPr>
      <w:r>
        <w:rPr>
          <w:rFonts w:hint="eastAsia" w:ascii="LinTimes" w:hAnsi="LinTimes" w:cs="LinTimes"/>
          <w:kern w:val="0"/>
        </w:rPr>
        <w:t>贯彻落实《保障农民工工资支付条例》，</w:t>
      </w:r>
      <w:r>
        <w:rPr>
          <w:rFonts w:hint="eastAsia" w:ascii="LinTimes" w:hAnsi="LinTimes" w:cs="LinTimes"/>
          <w:kern w:val="0"/>
          <w:lang w:val="en-US" w:eastAsia="zh-CN"/>
        </w:rPr>
        <w:t>持续</w:t>
      </w:r>
      <w:r>
        <w:rPr>
          <w:rFonts w:hint="eastAsia" w:ascii="LinTimes" w:hAnsi="LinTimes" w:cs="LinTimes"/>
          <w:kern w:val="0"/>
        </w:rPr>
        <w:t>完善治理欠薪长效机制，全力维护劳动者合法权益。组织开展《条例》宣传学习活动，做好劳动监察的日常巡查，开展工程建设领域劳动用工专项整治活动，进一步加大对保障农民工工资支付工作的督查力度。加大欠薪违法企业惩戒力度</w:t>
      </w:r>
      <w:r>
        <w:rPr>
          <w:rFonts w:hint="eastAsia" w:ascii="LinTimes" w:hAnsi="LinTimes" w:cs="LinTimes"/>
          <w:kern w:val="0"/>
          <w:lang w:eastAsia="zh-CN"/>
        </w:rPr>
        <w:t>，</w:t>
      </w:r>
      <w:r>
        <w:rPr>
          <w:rFonts w:hint="eastAsia" w:ascii="LinTimes" w:hAnsi="LinTimes" w:cs="LinTimes"/>
          <w:kern w:val="0"/>
        </w:rPr>
        <w:t>用好拖欠农民工工资“黑名单”和社会公布两个执法效果的</w:t>
      </w:r>
      <w:r>
        <w:rPr>
          <w:rFonts w:hint="eastAsia" w:ascii="LinTimes" w:hAnsi="LinTimes" w:cs="LinTimes"/>
          <w:kern w:val="0"/>
          <w:lang w:eastAsia="zh-CN"/>
        </w:rPr>
        <w:t>“</w:t>
      </w:r>
      <w:r>
        <w:rPr>
          <w:rFonts w:hint="eastAsia" w:ascii="LinTimes" w:hAnsi="LinTimes" w:cs="LinTimes"/>
          <w:kern w:val="0"/>
        </w:rPr>
        <w:t>放大器</w:t>
      </w:r>
      <w:r>
        <w:rPr>
          <w:rFonts w:hint="eastAsia" w:ascii="LinTimes" w:hAnsi="LinTimes" w:cs="LinTimes"/>
          <w:kern w:val="0"/>
          <w:lang w:eastAsia="zh-CN"/>
        </w:rPr>
        <w:t>”</w:t>
      </w:r>
      <w:r>
        <w:rPr>
          <w:rFonts w:hint="eastAsia" w:ascii="LinTimes" w:hAnsi="LinTimes" w:cs="LinTimes"/>
          <w:kern w:val="0"/>
        </w:rPr>
        <w:t>，对欠薪违法企业实施联合惩戒，保持高压态势。</w:t>
      </w:r>
    </w:p>
    <w:p w14:paraId="2BD1B0FB">
      <w:pPr>
        <w:pStyle w:val="7"/>
        <w:bidi w:val="0"/>
        <w:ind w:left="0" w:leftChars="0" w:firstLine="0" w:firstLineChars="0"/>
        <w:jc w:val="center"/>
        <w:rPr>
          <w:rFonts w:hint="eastAsia" w:ascii="宋体" w:hAnsi="宋体" w:eastAsia="宋体" w:cs="宋体"/>
        </w:rPr>
      </w:pPr>
      <w:bookmarkStart w:id="33" w:name="_Toc5114"/>
      <w:r>
        <w:rPr>
          <w:rFonts w:hint="eastAsia" w:ascii="宋体" w:hAnsi="宋体" w:eastAsia="宋体" w:cs="宋体"/>
          <w:lang w:val="en-US" w:eastAsia="zh-CN"/>
        </w:rPr>
        <w:t xml:space="preserve">第四节 </w:t>
      </w:r>
      <w:r>
        <w:rPr>
          <w:rFonts w:hint="eastAsia" w:ascii="宋体" w:hAnsi="宋体" w:eastAsia="宋体" w:cs="宋体"/>
        </w:rPr>
        <w:t>有效化解劳动关系领域重大风险</w:t>
      </w:r>
      <w:bookmarkEnd w:id="33"/>
    </w:p>
    <w:p w14:paraId="458D937C">
      <w:pPr>
        <w:ind w:firstLine="640"/>
      </w:pPr>
      <w:r>
        <w:rPr>
          <w:rFonts w:hint="eastAsia" w:ascii="LinTimes" w:hAnsi="LinTimes" w:cs="LinTimes"/>
          <w:kern w:val="0"/>
        </w:rPr>
        <w:t>转变劳动关系治理工作理念和机制，</w:t>
      </w:r>
      <w:r>
        <w:rPr>
          <w:rFonts w:hint="eastAsia" w:ascii="LinTimes" w:hAnsi="LinTimes" w:cs="LinTimes"/>
          <w:kern w:val="0"/>
          <w:lang w:val="en-US" w:eastAsia="zh-CN"/>
        </w:rPr>
        <w:t>建立事前预防、矛盾源头治理、风险监测、有效处置链条式工作机制，</w:t>
      </w:r>
      <w:r>
        <w:rPr>
          <w:rFonts w:hint="eastAsia" w:ascii="LinTimes" w:hAnsi="LinTimes" w:cs="LinTimes"/>
          <w:kern w:val="0"/>
        </w:rPr>
        <w:t>有效化解劳动关系领域重大风险。</w:t>
      </w:r>
      <w:r>
        <w:t>统</w:t>
      </w:r>
      <w:r>
        <w:rPr>
          <w:rFonts w:hint="eastAsia"/>
        </w:rPr>
        <w:t>筹兼顾促进企业发展和保障职工权益的关系，及时排查和化解劳动关系领域的风险隐患，完善劳动争议多元处理机制和多部门联动惩戒机制</w:t>
      </w:r>
      <w:r>
        <w:t>。</w:t>
      </w:r>
      <w:r>
        <w:rPr>
          <w:rFonts w:hint="eastAsia"/>
        </w:rPr>
        <w:t>逐步建立劳动关系领域重大事项风险评估制度，加强劳动关系的风险防控处置</w:t>
      </w:r>
      <w:r>
        <w:t>，</w:t>
      </w:r>
      <w:r>
        <w:rPr>
          <w:rFonts w:hint="eastAsia"/>
        </w:rPr>
        <w:t>指导企业妥善处理面临的困难</w:t>
      </w:r>
      <w:r>
        <w:t>。</w:t>
      </w:r>
      <w:r>
        <w:rPr>
          <w:rFonts w:hint="eastAsia"/>
        </w:rPr>
        <w:t>完善劳动关系信息报送制度，建立劳动关系群体性纠纷经常性排查和动态监测预警制度，防范群体性事件发生</w:t>
      </w:r>
      <w:r>
        <w:t>。</w:t>
      </w:r>
      <w:r>
        <w:rPr>
          <w:rFonts w:hint="eastAsia"/>
        </w:rPr>
        <w:t>完善应急预案，强化事件处置属地责任，建立有关部门和工会、企业代表组织共同参与的群体性事件应急联动处置机制</w:t>
      </w:r>
      <w:r>
        <w:t>。</w:t>
      </w:r>
      <w:r>
        <w:rPr>
          <w:rFonts w:hint="eastAsia"/>
        </w:rPr>
        <w:t>拓宽民意诉求表达渠道，畅通信、访、网、电“四位一体”的工作平台，强化部门协调和上下联动，及时处置信访事件，维护劳动者和用人单位的合法权益。</w:t>
      </w:r>
      <w:r>
        <w:rPr>
          <w:rFonts w:hint="eastAsia"/>
          <w:shd w:val="clear" w:color="auto" w:fill="FFFFFF"/>
        </w:rPr>
        <w:t>加强劳动关系领域舆情监测，对重点舆情及时回应、正面引导，把风险隐患化解在萌芽状态。</w:t>
      </w:r>
    </w:p>
    <w:p w14:paraId="46FD4E85">
      <w:pPr>
        <w:ind w:firstLine="640"/>
      </w:pPr>
    </w:p>
    <w:p w14:paraId="675EC27E">
      <w:pPr>
        <w:pStyle w:val="12"/>
        <w:ind w:left="0" w:leftChars="0" w:firstLine="0" w:firstLineChars="0"/>
        <w:rPr>
          <w:rFonts w:hint="eastAsia"/>
        </w:rPr>
      </w:pPr>
    </w:p>
    <w:p w14:paraId="0B8AFAAB">
      <w:pPr>
        <w:pStyle w:val="10"/>
        <w:rPr>
          <w:rFonts w:hint="eastAsia"/>
        </w:rPr>
      </w:pPr>
    </w:p>
    <w:p w14:paraId="32594C46">
      <w:pPr>
        <w:rPr>
          <w:rFonts w:hint="eastAsia"/>
        </w:rPr>
      </w:pPr>
    </w:p>
    <w:p w14:paraId="6E1E4D97">
      <w:pPr>
        <w:pStyle w:val="2"/>
        <w:rPr>
          <w:rFonts w:hint="eastAsia"/>
        </w:rPr>
      </w:pPr>
    </w:p>
    <w:p w14:paraId="0866CE23">
      <w:pPr>
        <w:pStyle w:val="4"/>
        <w:rPr>
          <w:rFonts w:hint="eastAsia"/>
        </w:rPr>
      </w:pPr>
    </w:p>
    <w:p w14:paraId="047BCD00">
      <w:pPr>
        <w:pStyle w:val="5"/>
        <w:rPr>
          <w:rFonts w:hint="eastAsia"/>
        </w:rPr>
      </w:pPr>
    </w:p>
    <w:p w14:paraId="4C7B0233">
      <w:pPr>
        <w:rPr>
          <w:rFonts w:hint="eastAsia"/>
        </w:rPr>
      </w:pPr>
    </w:p>
    <w:p w14:paraId="7BE197A8">
      <w:pPr>
        <w:pStyle w:val="2"/>
        <w:rPr>
          <w:rFonts w:hint="eastAsia"/>
        </w:rPr>
      </w:pPr>
    </w:p>
    <w:p w14:paraId="05D980C1">
      <w:pPr>
        <w:pStyle w:val="4"/>
        <w:rPr>
          <w:rFonts w:hint="eastAsia"/>
        </w:rPr>
      </w:pPr>
    </w:p>
    <w:p w14:paraId="55CB2497">
      <w:pPr>
        <w:pStyle w:val="5"/>
        <w:rPr>
          <w:rFonts w:hint="eastAsia"/>
        </w:rPr>
      </w:pPr>
    </w:p>
    <w:p w14:paraId="7030C7EB">
      <w:pPr>
        <w:rPr>
          <w:rFonts w:hint="eastAsia"/>
        </w:rPr>
      </w:pPr>
    </w:p>
    <w:p w14:paraId="29CAF521">
      <w:pPr>
        <w:pStyle w:val="2"/>
        <w:rPr>
          <w:rFonts w:hint="eastAsia"/>
        </w:rPr>
      </w:pPr>
    </w:p>
    <w:p w14:paraId="3D5A1EF9">
      <w:pPr>
        <w:pStyle w:val="4"/>
        <w:rPr>
          <w:rFonts w:hint="eastAsia"/>
        </w:rPr>
      </w:pPr>
    </w:p>
    <w:p w14:paraId="664E7C19">
      <w:pPr>
        <w:pStyle w:val="6"/>
        <w:bidi w:val="0"/>
        <w:ind w:left="0" w:leftChars="0" w:firstLine="0" w:firstLineChars="0"/>
        <w:jc w:val="center"/>
        <w:rPr>
          <w:rFonts w:hint="default"/>
          <w:lang w:val="en-US"/>
        </w:rPr>
      </w:pPr>
      <w:bookmarkStart w:id="34" w:name="_Toc3501"/>
      <w:r>
        <w:rPr>
          <w:rFonts w:hint="eastAsia" w:ascii="黑体" w:hAnsi="黑体" w:eastAsia="黑体" w:cs="黑体"/>
          <w:b w:val="0"/>
          <w:bCs/>
          <w:sz w:val="32"/>
          <w:szCs w:val="32"/>
          <w:lang w:val="en-US" w:eastAsia="zh-CN"/>
        </w:rPr>
        <w:t>第六章 打造公共服务建设“升级版”，提高服务能力和质量</w:t>
      </w:r>
      <w:bookmarkEnd w:id="34"/>
    </w:p>
    <w:p w14:paraId="168C5562">
      <w:pPr>
        <w:ind w:firstLine="640"/>
        <w:rPr>
          <w:rFonts w:hint="eastAsia" w:ascii="LinTimes" w:hAnsi="LinTimes" w:cs="LinTimes"/>
          <w:kern w:val="0"/>
        </w:rPr>
      </w:pPr>
      <w:r>
        <w:rPr>
          <w:rFonts w:hint="eastAsia" w:ascii="LinTimes" w:hAnsi="LinTimes" w:cs="LinTimes"/>
          <w:kern w:val="0"/>
          <w:lang w:val="en-US" w:eastAsia="zh-CN"/>
        </w:rPr>
        <w:t>加强</w:t>
      </w:r>
      <w:r>
        <w:rPr>
          <w:rFonts w:hint="eastAsia" w:ascii="LinTimes" w:hAnsi="LinTimes" w:cs="LinTimes"/>
          <w:kern w:val="0"/>
        </w:rPr>
        <w:t>公共服务</w:t>
      </w:r>
      <w:r>
        <w:rPr>
          <w:rFonts w:hint="eastAsia" w:ascii="LinTimes" w:hAnsi="LinTimes" w:cs="LinTimes"/>
          <w:kern w:val="0"/>
          <w:lang w:val="en-US" w:eastAsia="zh-CN"/>
        </w:rPr>
        <w:t>基础设施建设</w:t>
      </w:r>
      <w:r>
        <w:rPr>
          <w:rFonts w:hint="eastAsia" w:ascii="LinTimes" w:hAnsi="LinTimes" w:cs="LinTimes"/>
          <w:kern w:val="0"/>
        </w:rPr>
        <w:t>，</w:t>
      </w:r>
      <w:r>
        <w:rPr>
          <w:rFonts w:hint="eastAsia" w:ascii="LinTimes" w:hAnsi="LinTimes" w:cs="LinTimes"/>
          <w:kern w:val="0"/>
          <w:lang w:val="en-US" w:eastAsia="zh-CN"/>
        </w:rPr>
        <w:t>提升公共服务信息化水平，健全完善公共服务制度，全面提高</w:t>
      </w:r>
      <w:r>
        <w:rPr>
          <w:rFonts w:hint="eastAsia" w:ascii="LinTimes" w:hAnsi="LinTimes" w:cs="LinTimes"/>
          <w:kern w:val="0"/>
        </w:rPr>
        <w:t>公共服务能力</w:t>
      </w:r>
      <w:r>
        <w:rPr>
          <w:rFonts w:hint="eastAsia" w:ascii="LinTimes" w:hAnsi="LinTimes" w:cs="LinTimes"/>
          <w:kern w:val="0"/>
          <w:lang w:val="en-US" w:eastAsia="zh-CN"/>
        </w:rPr>
        <w:t>和质量</w:t>
      </w:r>
      <w:r>
        <w:rPr>
          <w:rFonts w:hint="eastAsia" w:ascii="LinTimes" w:hAnsi="LinTimes" w:cs="LinTimes"/>
          <w:kern w:val="0"/>
        </w:rPr>
        <w:t>，构建覆盖领域广泛、均等可及、高效优质的人力资源社会保障基本公共服务体系。</w:t>
      </w:r>
    </w:p>
    <w:p w14:paraId="5132BCE5">
      <w:pPr>
        <w:pStyle w:val="7"/>
        <w:bidi w:val="0"/>
        <w:ind w:left="0" w:leftChars="0" w:firstLine="0" w:firstLineChars="0"/>
        <w:jc w:val="center"/>
        <w:rPr>
          <w:rFonts w:hint="eastAsia" w:ascii="宋体" w:hAnsi="宋体" w:eastAsia="宋体" w:cs="宋体"/>
          <w:lang w:val="en-US" w:eastAsia="zh-CN"/>
        </w:rPr>
      </w:pPr>
      <w:bookmarkStart w:id="35" w:name="_Toc1567"/>
      <w:r>
        <w:rPr>
          <w:rFonts w:hint="eastAsia" w:ascii="宋体" w:hAnsi="宋体" w:eastAsia="宋体" w:cs="宋体"/>
          <w:lang w:val="en-US" w:eastAsia="zh-CN"/>
        </w:rPr>
        <w:t>第一节 全力推进公共服务均等化</w:t>
      </w:r>
      <w:bookmarkEnd w:id="35"/>
    </w:p>
    <w:p w14:paraId="053ABF5F">
      <w:pPr>
        <w:pStyle w:val="8"/>
        <w:bidi w:val="0"/>
        <w:rPr>
          <w:rFonts w:hint="eastAsia" w:ascii="LinTimes" w:hAnsi="LinTimes" w:cs="LinTimes"/>
          <w:b w:val="0"/>
          <w:kern w:val="0"/>
          <w:sz w:val="32"/>
          <w:szCs w:val="22"/>
          <w:lang w:val="en-US" w:eastAsia="zh-CN" w:bidi="ar-SA"/>
        </w:rPr>
      </w:pPr>
      <w:r>
        <w:rPr>
          <w:rFonts w:hint="eastAsia" w:ascii="LinTimes" w:hAnsi="LinTimes" w:eastAsia="仿宋_GB2312" w:cs="LinTimes"/>
          <w:b w:val="0"/>
          <w:kern w:val="0"/>
          <w:sz w:val="32"/>
          <w:szCs w:val="22"/>
          <w:lang w:val="en-US" w:eastAsia="zh-CN" w:bidi="ar-SA"/>
        </w:rPr>
        <w:t>补齐基层公共服务基础建设短板，</w:t>
      </w:r>
      <w:r>
        <w:rPr>
          <w:rFonts w:hint="eastAsia" w:ascii="LinTimes" w:hAnsi="LinTimes" w:cs="LinTimes"/>
          <w:b w:val="0"/>
          <w:kern w:val="0"/>
          <w:sz w:val="32"/>
          <w:szCs w:val="22"/>
          <w:lang w:val="en-US" w:eastAsia="zh-CN" w:bidi="ar-SA"/>
        </w:rPr>
        <w:t>着力落实公共服务下沉需求。动态扩大公共服务人群，扩充公共服务内容，创新公共服务办法手段，提高城乡居民民生保障安全感和幸福感。</w:t>
      </w:r>
    </w:p>
    <w:p w14:paraId="33D710A9">
      <w:pPr>
        <w:pStyle w:val="8"/>
        <w:bidi w:val="0"/>
        <w:rPr>
          <w:rFonts w:hint="eastAsia"/>
          <w:lang w:val="en-US" w:eastAsia="zh-CN"/>
        </w:rPr>
      </w:pPr>
      <w:r>
        <w:rPr>
          <w:rFonts w:hint="eastAsia"/>
          <w:lang w:val="en-US" w:eastAsia="zh-CN"/>
        </w:rPr>
        <w:t>一、加强公共服务基础设施建设</w:t>
      </w:r>
    </w:p>
    <w:p w14:paraId="382C492E">
      <w:pPr>
        <w:ind w:firstLine="640"/>
        <w:rPr>
          <w:rFonts w:hint="eastAsia" w:ascii="LinTimes" w:hAnsi="LinTimes" w:cs="LinTimes"/>
          <w:kern w:val="0"/>
        </w:rPr>
      </w:pPr>
      <w:r>
        <w:rPr>
          <w:rFonts w:hint="eastAsia" w:ascii="LinTimes" w:hAnsi="LinTimes" w:cs="LinTimes"/>
          <w:kern w:val="0"/>
        </w:rPr>
        <w:t>加强</w:t>
      </w:r>
      <w:r>
        <w:rPr>
          <w:rFonts w:hint="eastAsia" w:ascii="LinTimes" w:hAnsi="LinTimes" w:cs="LinTimes"/>
          <w:kern w:val="0"/>
          <w:lang w:val="en-US" w:eastAsia="zh-CN"/>
        </w:rPr>
        <w:t>市、县（区）各级</w:t>
      </w:r>
      <w:r>
        <w:rPr>
          <w:rFonts w:hint="eastAsia" w:ascii="LinTimes" w:hAnsi="LinTimes" w:cs="LinTimes"/>
          <w:kern w:val="0"/>
        </w:rPr>
        <w:t>人力资源市场建设，</w:t>
      </w:r>
      <w:r>
        <w:rPr>
          <w:rFonts w:hint="eastAsia" w:ascii="LinTimes" w:hAnsi="LinTimes" w:cs="LinTimes"/>
          <w:kern w:val="0"/>
          <w:lang w:val="en-US" w:eastAsia="zh-CN"/>
        </w:rPr>
        <w:t>全方位</w:t>
      </w:r>
      <w:r>
        <w:rPr>
          <w:rFonts w:hint="eastAsia" w:ascii="LinTimes" w:hAnsi="LinTimes" w:cs="LinTimes"/>
          <w:kern w:val="0"/>
        </w:rPr>
        <w:t>提</w:t>
      </w:r>
      <w:r>
        <w:rPr>
          <w:rFonts w:hint="eastAsia" w:ascii="LinTimes" w:hAnsi="LinTimes" w:cs="LinTimes"/>
          <w:kern w:val="0"/>
          <w:lang w:val="en-US" w:eastAsia="zh-CN"/>
        </w:rPr>
        <w:t>供</w:t>
      </w:r>
      <w:r>
        <w:rPr>
          <w:rFonts w:hint="eastAsia" w:ascii="LinTimes" w:hAnsi="LinTimes" w:cs="LinTimes"/>
          <w:kern w:val="0"/>
        </w:rPr>
        <w:t>公共就业、劳动关系协调、劳动人事争议调解仲裁、劳动保障监察等服务。加强</w:t>
      </w:r>
      <w:r>
        <w:rPr>
          <w:rFonts w:hint="eastAsia" w:ascii="LinTimes" w:hAnsi="LinTimes" w:cs="LinTimes"/>
          <w:kern w:val="0"/>
          <w:lang w:val="en-US" w:eastAsia="zh-CN"/>
        </w:rPr>
        <w:t>市、县（区）各级</w:t>
      </w:r>
      <w:r>
        <w:rPr>
          <w:rFonts w:hint="eastAsia" w:ascii="LinTimes" w:hAnsi="LinTimes" w:cs="LinTimes"/>
          <w:kern w:val="0"/>
        </w:rPr>
        <w:t>社会保障服务中心建设，提</w:t>
      </w:r>
      <w:r>
        <w:rPr>
          <w:rFonts w:hint="eastAsia" w:ascii="LinTimes" w:hAnsi="LinTimes" w:cs="LinTimes"/>
          <w:kern w:val="0"/>
          <w:lang w:val="en-US" w:eastAsia="zh-CN"/>
        </w:rPr>
        <w:t>高</w:t>
      </w:r>
      <w:r>
        <w:rPr>
          <w:rFonts w:hint="eastAsia" w:ascii="LinTimes" w:hAnsi="LinTimes" w:cs="LinTimes"/>
          <w:kern w:val="0"/>
        </w:rPr>
        <w:t>各项社会保险参保缴费、社会保险关系转移等服务</w:t>
      </w:r>
      <w:r>
        <w:rPr>
          <w:rFonts w:hint="eastAsia" w:ascii="LinTimes" w:hAnsi="LinTimes" w:cs="LinTimes"/>
          <w:kern w:val="0"/>
          <w:lang w:val="en-US" w:eastAsia="zh-CN"/>
        </w:rPr>
        <w:t>效率和水平</w:t>
      </w:r>
      <w:r>
        <w:rPr>
          <w:rFonts w:hint="eastAsia" w:ascii="LinTimes" w:hAnsi="LinTimes" w:cs="LinTimes"/>
          <w:kern w:val="0"/>
        </w:rPr>
        <w:t>。加强</w:t>
      </w:r>
      <w:r>
        <w:rPr>
          <w:rFonts w:hint="eastAsia" w:ascii="LinTimes" w:hAnsi="LinTimes" w:cs="LinTimes"/>
          <w:kern w:val="0"/>
          <w:lang w:val="en-US" w:eastAsia="zh-CN"/>
        </w:rPr>
        <w:t>市、县（区）各级</w:t>
      </w:r>
      <w:r>
        <w:rPr>
          <w:rFonts w:hint="eastAsia" w:ascii="LinTimes" w:hAnsi="LinTimes" w:cs="LinTimes"/>
          <w:kern w:val="0"/>
        </w:rPr>
        <w:t>职业技能实训基地建设，</w:t>
      </w:r>
      <w:r>
        <w:rPr>
          <w:rFonts w:hint="eastAsia" w:ascii="LinTimes" w:hAnsi="LinTimes" w:cs="LinTimes"/>
          <w:kern w:val="0"/>
          <w:lang w:val="en-US" w:eastAsia="zh-CN"/>
        </w:rPr>
        <w:t>深化产教融合、校企合作，</w:t>
      </w:r>
      <w:r>
        <w:rPr>
          <w:rFonts w:hint="eastAsia" w:ascii="LinTimes" w:hAnsi="LinTimes" w:cs="LinTimes"/>
          <w:kern w:val="0"/>
        </w:rPr>
        <w:t>不断</w:t>
      </w:r>
      <w:r>
        <w:rPr>
          <w:rFonts w:hint="eastAsia" w:ascii="LinTimes" w:hAnsi="LinTimes" w:cs="LinTimes"/>
          <w:kern w:val="0"/>
          <w:lang w:val="en-US" w:eastAsia="zh-CN"/>
        </w:rPr>
        <w:t>提高职业技能实践能力</w:t>
      </w:r>
      <w:r>
        <w:rPr>
          <w:rFonts w:hint="eastAsia" w:ascii="LinTimes" w:hAnsi="LinTimes" w:cs="LinTimes"/>
          <w:kern w:val="0"/>
        </w:rPr>
        <w:t>培训</w:t>
      </w:r>
      <w:r>
        <w:rPr>
          <w:rFonts w:hint="eastAsia" w:ascii="LinTimes" w:hAnsi="LinTimes" w:cs="LinTimes"/>
          <w:kern w:val="0"/>
          <w:lang w:val="en-US" w:eastAsia="zh-CN"/>
        </w:rPr>
        <w:t>质量</w:t>
      </w:r>
      <w:r>
        <w:rPr>
          <w:rFonts w:hint="eastAsia" w:ascii="LinTimes" w:hAnsi="LinTimes" w:cs="LinTimes"/>
          <w:kern w:val="0"/>
        </w:rPr>
        <w:t>。加强</w:t>
      </w:r>
      <w:r>
        <w:rPr>
          <w:rFonts w:hint="eastAsia" w:ascii="LinTimes" w:hAnsi="LinTimes" w:cs="LinTimes"/>
          <w:kern w:val="0"/>
          <w:lang w:val="en-US" w:eastAsia="zh-CN"/>
        </w:rPr>
        <w:t>市、县（区）各级</w:t>
      </w:r>
      <w:r>
        <w:rPr>
          <w:rFonts w:hint="eastAsia" w:ascii="LinTimes" w:hAnsi="LinTimes" w:cs="LinTimes"/>
          <w:kern w:val="0"/>
        </w:rPr>
        <w:t>区域性工伤康复示范中心建设，实现分层次、相互衔接、特色互补的工伤康复服务格局。</w:t>
      </w:r>
    </w:p>
    <w:p w14:paraId="37A37A56">
      <w:pPr>
        <w:pStyle w:val="8"/>
        <w:numPr>
          <w:ilvl w:val="0"/>
          <w:numId w:val="0"/>
        </w:numPr>
        <w:bidi w:val="0"/>
        <w:ind w:leftChars="200"/>
        <w:rPr>
          <w:rFonts w:hint="eastAsia"/>
          <w:lang w:val="en-US" w:eastAsia="zh-CN"/>
        </w:rPr>
      </w:pPr>
      <w:r>
        <w:rPr>
          <w:rFonts w:hint="eastAsia"/>
          <w:lang w:val="en-US" w:eastAsia="zh-CN"/>
        </w:rPr>
        <w:t>二、建设覆盖全域范围公共服务体系</w:t>
      </w:r>
    </w:p>
    <w:p w14:paraId="3A4C904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rPr>
      </w:pPr>
      <w:r>
        <w:rPr>
          <w:rFonts w:hint="eastAsia" w:ascii="仿宋_GB2312" w:hAnsi="仿宋_GB2312" w:eastAsia="仿宋_GB2312" w:cs="仿宋_GB2312"/>
          <w:color w:val="auto"/>
          <w:sz w:val="32"/>
          <w:szCs w:val="32"/>
          <w:u w:val="none"/>
          <w:lang w:val="en-US" w:eastAsia="zh-CN"/>
        </w:rPr>
        <w:t>整合社会保险和公共就业服务平台，提供跨地区跨层级协同办理的人社公共服务。建立贯穿全程的标准化公共就业服务体系，完善公共就业服务事项</w:t>
      </w:r>
      <w:r>
        <w:rPr>
          <w:rFonts w:hint="eastAsia" w:cs="仿宋_GB2312"/>
          <w:color w:val="auto"/>
          <w:sz w:val="32"/>
          <w:szCs w:val="32"/>
          <w:u w:val="none"/>
          <w:lang w:val="en-US" w:eastAsia="zh-CN"/>
        </w:rPr>
        <w:t>。重点</w:t>
      </w:r>
      <w:r>
        <w:rPr>
          <w:rFonts w:hint="eastAsia" w:ascii="仿宋_GB2312" w:hAnsi="仿宋_GB2312" w:eastAsia="仿宋_GB2312" w:cs="仿宋_GB2312"/>
          <w:color w:val="auto"/>
          <w:sz w:val="32"/>
          <w:szCs w:val="32"/>
          <w:u w:val="none"/>
          <w:lang w:val="en-US" w:eastAsia="zh-CN"/>
        </w:rPr>
        <w:t>以劳动力建档立卡为抓手，明确覆盖全民的公共就业服务范围。建立健全覆盖城乡全体居民的社会保险体系，逐步提高保障水平和统筹层次。紧密围绕“综合柜员制”建设目标，优化经办流程，促进数据共享与业务协同，</w:t>
      </w:r>
      <w:r>
        <w:rPr>
          <w:rFonts w:hint="eastAsia" w:cs="仿宋_GB2312"/>
          <w:color w:val="auto"/>
          <w:sz w:val="32"/>
          <w:szCs w:val="32"/>
          <w:u w:val="none"/>
          <w:lang w:val="en-US" w:eastAsia="zh-CN"/>
        </w:rPr>
        <w:t>促进线上线下服务协同，</w:t>
      </w:r>
      <w:r>
        <w:rPr>
          <w:rFonts w:hint="eastAsia" w:ascii="仿宋_GB2312" w:hAnsi="仿宋_GB2312" w:eastAsia="仿宋_GB2312" w:cs="仿宋_GB2312"/>
          <w:color w:val="auto"/>
          <w:sz w:val="32"/>
          <w:szCs w:val="32"/>
          <w:u w:val="none"/>
          <w:lang w:val="en-US" w:eastAsia="zh-CN"/>
        </w:rPr>
        <w:t>提供更加便捷高效的经办服务。</w:t>
      </w:r>
      <w:r>
        <w:rPr>
          <w:rFonts w:hint="eastAsia" w:cs="仿宋_GB2312"/>
          <w:color w:val="auto"/>
          <w:sz w:val="32"/>
          <w:szCs w:val="32"/>
          <w:u w:val="none"/>
          <w:lang w:val="en-US" w:eastAsia="zh-CN"/>
        </w:rPr>
        <w:t>依据人群和地区不同特点，</w:t>
      </w:r>
      <w:r>
        <w:rPr>
          <w:rFonts w:hint="eastAsia" w:ascii="仿宋_GB2312" w:hAnsi="仿宋_GB2312" w:eastAsia="仿宋_GB2312" w:cs="仿宋_GB2312"/>
          <w:color w:val="auto"/>
          <w:sz w:val="32"/>
          <w:szCs w:val="32"/>
          <w:u w:val="none"/>
          <w:lang w:val="en-US" w:eastAsia="zh-CN"/>
        </w:rPr>
        <w:t>构建多元化、多渠道公共就业服务供给方式。</w:t>
      </w:r>
    </w:p>
    <w:p w14:paraId="64FA1389">
      <w:pPr>
        <w:pStyle w:val="7"/>
        <w:bidi w:val="0"/>
        <w:ind w:left="0" w:leftChars="0" w:firstLine="0" w:firstLineChars="0"/>
        <w:jc w:val="center"/>
        <w:rPr>
          <w:rFonts w:hint="eastAsia" w:ascii="宋体" w:hAnsi="宋体" w:eastAsia="宋体" w:cs="宋体"/>
        </w:rPr>
      </w:pPr>
      <w:bookmarkStart w:id="36" w:name="_Toc25239"/>
      <w:r>
        <w:rPr>
          <w:rFonts w:hint="eastAsia" w:ascii="宋体" w:hAnsi="宋体" w:eastAsia="宋体" w:cs="宋体"/>
        </w:rPr>
        <w:t>第二节 加快推进公共服务信息化</w:t>
      </w:r>
      <w:bookmarkEnd w:id="36"/>
    </w:p>
    <w:p w14:paraId="5C9685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LinTimes" w:hAnsi="LinTimes" w:cs="LinTimes"/>
          <w:kern w:val="0"/>
          <w:lang w:val="en-US"/>
        </w:rPr>
      </w:pPr>
      <w:r>
        <w:rPr>
          <w:rFonts w:hint="eastAsia" w:cs="仿宋_GB2312"/>
          <w:color w:val="auto"/>
          <w:sz w:val="32"/>
          <w:szCs w:val="32"/>
          <w:u w:val="none"/>
          <w:lang w:val="en-US" w:eastAsia="zh-CN"/>
        </w:rPr>
        <w:t>加大“智慧+”公共服务信息化建设力度，保障城乡居民基本人社服务需求，逐步提升服务数字化、网络化、便捷化水平。加强特色化服务平台建设，打造公共服务平台建设品牌，加快推进晋城市人社重点工作信息化服务能力走在全省前列。</w:t>
      </w:r>
    </w:p>
    <w:p w14:paraId="2D868B3B">
      <w:pPr>
        <w:pStyle w:val="8"/>
        <w:numPr>
          <w:ilvl w:val="0"/>
          <w:numId w:val="0"/>
        </w:numPr>
        <w:bidi w:val="0"/>
        <w:ind w:firstLine="643" w:firstLineChars="200"/>
        <w:rPr>
          <w:rFonts w:hint="eastAsia"/>
        </w:rPr>
      </w:pPr>
      <w:r>
        <w:rPr>
          <w:rFonts w:hint="eastAsia"/>
          <w:lang w:val="en-US" w:eastAsia="zh-CN"/>
        </w:rPr>
        <w:t>一、</w:t>
      </w:r>
      <w:r>
        <w:rPr>
          <w:rFonts w:hint="eastAsia"/>
        </w:rPr>
        <w:t>打造人社政务服务一体化平台</w:t>
      </w:r>
    </w:p>
    <w:p w14:paraId="60F752B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lang w:val="en-US" w:eastAsia="zh-CN"/>
        </w:rPr>
      </w:pPr>
      <w:r>
        <w:rPr>
          <w:rFonts w:hint="eastAsia" w:ascii="LinTimes" w:hAnsi="LinTimes" w:cs="LinTimes"/>
          <w:kern w:val="0"/>
        </w:rPr>
        <w:t>实现就业创业、技能培训</w:t>
      </w:r>
      <w:r>
        <w:rPr>
          <w:rFonts w:hint="eastAsia" w:ascii="LinTimes" w:hAnsi="LinTimes" w:cs="LinTimes"/>
          <w:kern w:val="0"/>
          <w:lang w:eastAsia="zh-CN"/>
        </w:rPr>
        <w:t>、</w:t>
      </w:r>
      <w:r>
        <w:rPr>
          <w:rFonts w:hint="eastAsia" w:ascii="LinTimes" w:hAnsi="LinTimes" w:cs="LinTimes"/>
          <w:kern w:val="0"/>
        </w:rPr>
        <w:t>社会保障、人事人才、劳动关系等领域</w:t>
      </w:r>
      <w:r>
        <w:rPr>
          <w:rFonts w:hint="eastAsia" w:ascii="LinTimes" w:hAnsi="LinTimes" w:cs="LinTimes"/>
          <w:kern w:val="0"/>
          <w:lang w:val="en-US" w:eastAsia="zh-CN"/>
        </w:rPr>
        <w:t>一体化</w:t>
      </w:r>
      <w:r>
        <w:rPr>
          <w:rFonts w:hint="eastAsia" w:ascii="LinTimes" w:hAnsi="LinTimes" w:cs="LinTimes"/>
          <w:kern w:val="0"/>
        </w:rPr>
        <w:t>人社智慧服务。强化基础信息库建设，推进核心业务系统一体化整合，</w:t>
      </w:r>
      <w:r>
        <w:rPr>
          <w:rFonts w:hint="eastAsia" w:ascii="LinTimes" w:hAnsi="LinTimes" w:cs="LinTimes"/>
          <w:kern w:val="0"/>
          <w:lang w:val="en-US" w:eastAsia="zh-CN"/>
        </w:rPr>
        <w:t>推动</w:t>
      </w:r>
      <w:r>
        <w:rPr>
          <w:rFonts w:hint="eastAsia" w:ascii="LinTimes" w:hAnsi="LinTimes" w:cs="LinTimes"/>
          <w:kern w:val="0"/>
        </w:rPr>
        <w:t>人社全业务“一窗受理”、“一网办结”。推动人社政务服务“应上尽上”，搭建线上线下相结合的一体化公共服务平台，实现线上线下服务衔接有序、安全高效、风险可控</w:t>
      </w:r>
      <w:r>
        <w:rPr>
          <w:rFonts w:hint="eastAsia" w:ascii="LinTimes" w:hAnsi="LinTimes" w:cs="LinTimes"/>
          <w:kern w:val="0"/>
          <w:lang w:eastAsia="zh-CN"/>
        </w:rPr>
        <w:t>。</w:t>
      </w:r>
      <w:r>
        <w:rPr>
          <w:rFonts w:hint="eastAsia" w:ascii="仿宋_GB2312" w:hAnsi="仿宋_GB2312" w:eastAsia="仿宋_GB2312" w:cs="仿宋_GB2312"/>
          <w:b w:val="0"/>
          <w:bCs w:val="0"/>
          <w:color w:val="auto"/>
          <w:sz w:val="32"/>
          <w:szCs w:val="32"/>
          <w:highlight w:val="none"/>
          <w:u w:val="none"/>
          <w:lang w:val="en-US" w:eastAsia="zh-CN"/>
        </w:rPr>
        <w:t>建立以社会保障卡为载体的“一卡通”管理服务模式，加快推动惠农惠民财政补贴资金发放、交通出行、文化旅游等更多政务服务、智慧城市领域用卡，形成更大范围的居民服务“一卡通”</w:t>
      </w:r>
      <w:r>
        <w:rPr>
          <w:rFonts w:hint="eastAsia" w:cs="仿宋_GB2312"/>
          <w:b w:val="0"/>
          <w:bCs w:val="0"/>
          <w:color w:val="auto"/>
          <w:sz w:val="32"/>
          <w:szCs w:val="32"/>
          <w:highlight w:val="none"/>
          <w:u w:val="none"/>
          <w:lang w:val="en-US" w:eastAsia="zh-CN"/>
        </w:rPr>
        <w:t>。</w:t>
      </w:r>
      <w:r>
        <w:rPr>
          <w:rFonts w:hint="eastAsia" w:ascii="LinTimes" w:hAnsi="LinTimes" w:cs="LinTimes"/>
          <w:kern w:val="0"/>
          <w:lang w:val="en-US" w:eastAsia="zh-CN"/>
        </w:rPr>
        <w:t>提升</w:t>
      </w:r>
      <w:r>
        <w:rPr>
          <w:rFonts w:hint="eastAsia" w:ascii="仿宋_GB2312" w:hAnsi="仿宋_GB2312" w:eastAsia="仿宋_GB2312" w:cs="仿宋_GB2312"/>
          <w:b w:val="0"/>
          <w:bCs w:val="0"/>
          <w:color w:val="auto"/>
          <w:sz w:val="32"/>
          <w:szCs w:val="32"/>
          <w:highlight w:val="none"/>
          <w:u w:val="none"/>
          <w:lang w:val="en-US" w:eastAsia="zh-CN"/>
        </w:rPr>
        <w:t>12333</w:t>
      </w:r>
      <w:r>
        <w:rPr>
          <w:rFonts w:hint="eastAsia" w:cs="仿宋_GB2312"/>
          <w:b w:val="0"/>
          <w:bCs w:val="0"/>
          <w:color w:val="auto"/>
          <w:sz w:val="32"/>
          <w:szCs w:val="32"/>
          <w:highlight w:val="none"/>
          <w:u w:val="none"/>
          <w:lang w:val="en-US" w:eastAsia="zh-CN"/>
        </w:rPr>
        <w:t>智能化服务水平</w:t>
      </w:r>
      <w:r>
        <w:rPr>
          <w:rFonts w:hint="eastAsia" w:ascii="仿宋_GB2312" w:hAnsi="仿宋_GB2312" w:eastAsia="仿宋_GB2312" w:cs="仿宋_GB2312"/>
          <w:b w:val="0"/>
          <w:bCs w:val="0"/>
          <w:color w:val="auto"/>
          <w:sz w:val="32"/>
          <w:szCs w:val="32"/>
          <w:highlight w:val="none"/>
          <w:u w:val="none"/>
          <w:lang w:val="en-US" w:eastAsia="zh-CN"/>
        </w:rPr>
        <w:t>，加强“12333”服务热线与政务服务的深度融合。</w:t>
      </w:r>
      <w:r>
        <w:rPr>
          <w:rFonts w:hint="eastAsia" w:ascii="仿宋_GB2312" w:hAnsi="仿宋_GB2312" w:eastAsia="仿宋_GB2312" w:cs="仿宋_GB2312"/>
          <w:i w:val="0"/>
          <w:caps w:val="0"/>
          <w:color w:val="auto"/>
          <w:spacing w:val="0"/>
          <w:sz w:val="32"/>
          <w:szCs w:val="32"/>
          <w:u w:val="none"/>
          <w:lang w:val="en-US" w:eastAsia="zh-CN"/>
        </w:rPr>
        <w:t>完善网络安全保障体系，加大数据安全和人社个人信息保护力度，推进网络分域和数据分级保护机制。</w:t>
      </w:r>
    </w:p>
    <w:p w14:paraId="5CB9DF21">
      <w:pPr>
        <w:pStyle w:val="8"/>
        <w:bidi w:val="0"/>
        <w:rPr>
          <w:rFonts w:hint="eastAsia"/>
        </w:rPr>
      </w:pPr>
      <w:r>
        <w:rPr>
          <w:rFonts w:hint="eastAsia"/>
          <w:lang w:eastAsia="zh-CN"/>
        </w:rPr>
        <w:t>二、</w:t>
      </w:r>
      <w:r>
        <w:rPr>
          <w:rFonts w:hint="eastAsia"/>
          <w:lang w:val="en-US" w:eastAsia="zh-CN"/>
        </w:rPr>
        <w:t>优化完善</w:t>
      </w:r>
      <w:r>
        <w:rPr>
          <w:rFonts w:hint="eastAsia"/>
        </w:rPr>
        <w:t>动态“劳动力建档立卡”信息实名制平台建设</w:t>
      </w:r>
    </w:p>
    <w:p w14:paraId="565B79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jc w:val="left"/>
        <w:rPr>
          <w:rFonts w:hint="default" w:ascii="LinTimes" w:hAnsi="LinTimes" w:eastAsia="仿宋_GB2312" w:cs="LinTimes"/>
          <w:kern w:val="0"/>
          <w:lang w:val="en-US" w:eastAsia="zh-CN"/>
        </w:rPr>
      </w:pPr>
      <w:r>
        <w:rPr>
          <w:rFonts w:hint="eastAsia" w:ascii="LinTimes" w:hAnsi="LinTimes" w:cs="LinTimes"/>
          <w:kern w:val="0"/>
        </w:rPr>
        <w:t>依托全省劳动力建档立卡信息实名制平台，建立动态“劳动力建档立卡”</w:t>
      </w:r>
      <w:r>
        <w:rPr>
          <w:rFonts w:hint="eastAsia" w:ascii="LinTimes" w:hAnsi="LinTimes" w:cs="LinTimes"/>
          <w:kern w:val="0"/>
          <w:lang w:val="en-US" w:eastAsia="zh-CN"/>
        </w:rPr>
        <w:t>系统</w:t>
      </w:r>
      <w:r>
        <w:rPr>
          <w:rFonts w:hint="eastAsia" w:ascii="LinTimes" w:hAnsi="LinTimes" w:cs="LinTimes"/>
          <w:kern w:val="0"/>
        </w:rPr>
        <w:t>，为劳动力提供</w:t>
      </w:r>
      <w:r>
        <w:rPr>
          <w:rFonts w:hint="eastAsia" w:ascii="LinTimes" w:hAnsi="LinTimes" w:cs="LinTimes"/>
          <w:kern w:val="0"/>
          <w:lang w:val="en-US" w:eastAsia="zh-CN"/>
        </w:rPr>
        <w:t>精准</w:t>
      </w:r>
      <w:r>
        <w:rPr>
          <w:rFonts w:hint="eastAsia" w:ascii="LinTimes" w:hAnsi="LinTimes" w:cs="LinTimes"/>
          <w:kern w:val="0"/>
        </w:rPr>
        <w:t>信息管理服务</w:t>
      </w:r>
      <w:r>
        <w:rPr>
          <w:rFonts w:hint="eastAsia" w:ascii="LinTimes" w:hAnsi="LinTimes" w:cs="LinTimes"/>
          <w:kern w:val="0"/>
          <w:lang w:eastAsia="zh-CN"/>
        </w:rPr>
        <w:t>。</w:t>
      </w:r>
      <w:r>
        <w:rPr>
          <w:rFonts w:hint="eastAsia" w:ascii="LinTimes" w:hAnsi="LinTimes" w:cs="LinTimes"/>
          <w:kern w:val="0"/>
          <w:lang w:val="en-US" w:eastAsia="zh-CN"/>
        </w:rPr>
        <w:t>优化</w:t>
      </w:r>
      <w:r>
        <w:rPr>
          <w:rFonts w:hint="eastAsia" w:ascii="LinTimes" w:hAnsi="LinTimes" w:cs="LinTimes"/>
          <w:kern w:val="0"/>
        </w:rPr>
        <w:t>完善培训信息实名制系统，</w:t>
      </w:r>
      <w:r>
        <w:rPr>
          <w:rFonts w:hint="eastAsia" w:ascii="LinTimes" w:hAnsi="LinTimes" w:cs="LinTimes"/>
          <w:kern w:val="0"/>
          <w:lang w:val="en-US" w:eastAsia="zh-CN"/>
        </w:rPr>
        <w:t>提升</w:t>
      </w:r>
      <w:r>
        <w:rPr>
          <w:rFonts w:hint="eastAsia" w:ascii="LinTimes" w:hAnsi="LinTimes" w:cs="LinTimes"/>
          <w:kern w:val="0"/>
        </w:rPr>
        <w:t>技能培训模式和就业帮扶计划</w:t>
      </w:r>
      <w:r>
        <w:rPr>
          <w:rFonts w:hint="eastAsia" w:ascii="LinTimes" w:hAnsi="LinTimes" w:cs="LinTimes"/>
          <w:kern w:val="0"/>
          <w:lang w:val="en-US" w:eastAsia="zh-CN"/>
        </w:rPr>
        <w:t>的有效性</w:t>
      </w:r>
      <w:r>
        <w:rPr>
          <w:rFonts w:hint="eastAsia" w:ascii="LinTimes" w:hAnsi="LinTimes" w:cs="LinTimes"/>
          <w:kern w:val="0"/>
        </w:rPr>
        <w:t>。</w:t>
      </w:r>
      <w:r>
        <w:rPr>
          <w:rFonts w:hint="eastAsia" w:ascii="LinTimes" w:hAnsi="LinTimes" w:cs="LinTimes"/>
          <w:kern w:val="0"/>
          <w:lang w:val="en-US" w:eastAsia="zh-CN"/>
        </w:rPr>
        <w:t>加强人群、时间节点、地区、工种等平台信息分类、整理和监测等技术能力建设，提高全面开发、合理利用劳动力资源的精细化水平。</w:t>
      </w:r>
      <w:r>
        <w:rPr>
          <w:rFonts w:hint="eastAsia" w:ascii="仿宋_GB2312" w:hAnsi="微软雅黑" w:eastAsia="仿宋_GB2312"/>
          <w:color w:val="auto"/>
          <w:sz w:val="32"/>
          <w:szCs w:val="32"/>
          <w:u w:val="none"/>
          <w:shd w:val="clear" w:color="auto" w:fill="FFFFFF"/>
        </w:rPr>
        <w:t>加快公共就业档案</w:t>
      </w:r>
      <w:r>
        <w:rPr>
          <w:rFonts w:hint="eastAsia" w:hAnsi="微软雅黑"/>
          <w:color w:val="auto"/>
          <w:sz w:val="32"/>
          <w:szCs w:val="32"/>
          <w:u w:val="none"/>
          <w:shd w:val="clear" w:color="auto" w:fill="FFFFFF"/>
          <w:lang w:val="en-US" w:eastAsia="zh-CN"/>
        </w:rPr>
        <w:t>数据联通</w:t>
      </w:r>
      <w:r>
        <w:rPr>
          <w:rFonts w:hint="eastAsia" w:ascii="仿宋_GB2312" w:hAnsi="微软雅黑" w:eastAsia="仿宋_GB2312"/>
          <w:color w:val="auto"/>
          <w:sz w:val="32"/>
          <w:szCs w:val="32"/>
          <w:u w:val="none"/>
          <w:shd w:val="clear" w:color="auto" w:fill="FFFFFF"/>
        </w:rPr>
        <w:t>信息化建设，打通人社业务数据“内循环”，提升全业务协同能力。</w:t>
      </w:r>
      <w:r>
        <w:rPr>
          <w:rFonts w:hint="eastAsia" w:ascii="仿宋_GB2312" w:hAnsi="微软雅黑" w:eastAsia="仿宋_GB2312"/>
          <w:color w:val="auto"/>
          <w:sz w:val="32"/>
          <w:szCs w:val="32"/>
          <w:u w:val="none"/>
          <w:shd w:val="clear" w:color="auto" w:fill="FFFFFF"/>
          <w:lang w:val="en-US" w:eastAsia="zh-CN"/>
        </w:rPr>
        <w:t>全面推广</w:t>
      </w:r>
      <w:r>
        <w:rPr>
          <w:rFonts w:hint="eastAsia" w:ascii="仿宋_GB2312" w:hAnsi="微软雅黑" w:eastAsia="仿宋_GB2312"/>
          <w:color w:val="auto"/>
          <w:sz w:val="32"/>
          <w:szCs w:val="32"/>
          <w:u w:val="none"/>
          <w:shd w:val="clear" w:color="auto" w:fill="FFFFFF"/>
        </w:rPr>
        <w:t>职业技能电子培训券，大力实施“互联网+职业技能培训计划”</w:t>
      </w:r>
      <w:r>
        <w:rPr>
          <w:rFonts w:hint="eastAsia" w:hAnsi="微软雅黑"/>
          <w:color w:val="auto"/>
          <w:sz w:val="32"/>
          <w:szCs w:val="32"/>
          <w:u w:val="none"/>
          <w:shd w:val="clear" w:color="auto" w:fill="FFFFFF"/>
          <w:lang w:eastAsia="zh-CN"/>
        </w:rPr>
        <w:t>，</w:t>
      </w:r>
      <w:r>
        <w:rPr>
          <w:rFonts w:hint="eastAsia" w:hAnsi="微软雅黑"/>
          <w:color w:val="auto"/>
          <w:sz w:val="32"/>
          <w:szCs w:val="32"/>
          <w:u w:val="none"/>
          <w:shd w:val="clear" w:color="auto" w:fill="FFFFFF"/>
          <w:lang w:val="en-US" w:eastAsia="zh-CN"/>
        </w:rPr>
        <w:t>充分</w:t>
      </w:r>
      <w:r>
        <w:rPr>
          <w:rFonts w:hint="eastAsia" w:ascii="仿宋_GB2312" w:hAnsi="微软雅黑" w:eastAsia="仿宋_GB2312"/>
          <w:color w:val="auto"/>
          <w:sz w:val="32"/>
          <w:szCs w:val="32"/>
          <w:u w:val="none"/>
          <w:shd w:val="clear" w:color="auto" w:fill="FFFFFF"/>
          <w:lang w:val="en-US" w:eastAsia="zh-CN"/>
        </w:rPr>
        <w:t>调动劳动者参加职业技能培训的积极性</w:t>
      </w:r>
      <w:r>
        <w:rPr>
          <w:rFonts w:hint="eastAsia" w:hAnsi="微软雅黑"/>
          <w:color w:val="auto"/>
          <w:sz w:val="32"/>
          <w:szCs w:val="32"/>
          <w:u w:val="none"/>
          <w:shd w:val="clear" w:color="auto" w:fill="FFFFFF"/>
          <w:lang w:val="en-US" w:eastAsia="zh-CN"/>
        </w:rPr>
        <w:t>，不断提升我市人社部电子培训券试点市建设水平。</w:t>
      </w:r>
    </w:p>
    <w:p w14:paraId="43D127FB">
      <w:pPr>
        <w:pStyle w:val="8"/>
        <w:bidi w:val="0"/>
        <w:rPr>
          <w:rFonts w:hint="default" w:cs="Times New Roman"/>
          <w:lang w:val="en-US" w:eastAsia="zh-CN"/>
        </w:rPr>
      </w:pPr>
      <w:r>
        <w:rPr>
          <w:rFonts w:hint="eastAsia" w:cs="Times New Roman"/>
          <w:lang w:val="en-US" w:eastAsia="zh-CN"/>
        </w:rPr>
        <w:t xml:space="preserve"> 三、探索建设高层次人才引进平台</w:t>
      </w:r>
    </w:p>
    <w:p w14:paraId="540220DA">
      <w:pPr>
        <w:spacing w:line="600" w:lineRule="exact"/>
        <w:jc w:val="left"/>
        <w:rPr>
          <w:rFonts w:hint="eastAsia" w:ascii="LinTimes" w:hAnsi="LinTimes" w:eastAsia="仿宋_GB2312" w:cs="LinTimes"/>
          <w:kern w:val="0"/>
          <w:sz w:val="32"/>
          <w:szCs w:val="22"/>
          <w:lang w:val="en-US" w:eastAsia="zh-CN" w:bidi="ar-SA"/>
        </w:rPr>
      </w:pPr>
      <w:r>
        <w:rPr>
          <w:rFonts w:hint="eastAsia" w:ascii="仿宋" w:hAnsi="仿宋" w:eastAsia="仿宋"/>
          <w:szCs w:val="32"/>
          <w:lang w:val="en-US" w:eastAsia="zh-CN"/>
        </w:rPr>
        <w:t>以需求导向和问题导向为基本原则，优化建设项目化精准引才引智平台，落实项目</w:t>
      </w:r>
      <w:r>
        <w:rPr>
          <w:rFonts w:hint="eastAsia" w:ascii="仿宋" w:hAnsi="仿宋" w:eastAsia="仿宋"/>
          <w:szCs w:val="32"/>
        </w:rPr>
        <w:t>“揭榜挂帅”制度</w:t>
      </w:r>
      <w:r>
        <w:rPr>
          <w:rFonts w:hint="eastAsia" w:ascii="仿宋" w:hAnsi="仿宋" w:eastAsia="仿宋"/>
          <w:szCs w:val="32"/>
          <w:lang w:eastAsia="zh-CN"/>
        </w:rPr>
        <w:t>，</w:t>
      </w:r>
      <w:r>
        <w:rPr>
          <w:rFonts w:hint="eastAsia" w:ascii="仿宋" w:hAnsi="仿宋" w:eastAsia="仿宋"/>
          <w:szCs w:val="32"/>
          <w:lang w:val="en-US" w:eastAsia="zh-CN"/>
        </w:rPr>
        <w:t>提高人才使用效率，</w:t>
      </w:r>
      <w:r>
        <w:rPr>
          <w:rFonts w:hint="eastAsia" w:ascii="仿宋" w:hAnsi="仿宋" w:eastAsia="仿宋"/>
          <w:szCs w:val="32"/>
        </w:rPr>
        <w:t>推动引进人才</w:t>
      </w:r>
      <w:r>
        <w:rPr>
          <w:rFonts w:hint="eastAsia" w:ascii="仿宋" w:hAnsi="仿宋" w:eastAsia="仿宋"/>
          <w:szCs w:val="32"/>
          <w:lang w:val="en-US" w:eastAsia="zh-CN"/>
        </w:rPr>
        <w:t>助力</w:t>
      </w:r>
      <w:r>
        <w:rPr>
          <w:rFonts w:hint="eastAsia" w:ascii="仿宋" w:hAnsi="仿宋" w:eastAsia="仿宋"/>
          <w:szCs w:val="32"/>
        </w:rPr>
        <w:t>区域产业快速发展</w:t>
      </w:r>
      <w:r>
        <w:rPr>
          <w:rFonts w:hint="eastAsia" w:ascii="仿宋" w:hAnsi="仿宋" w:eastAsia="仿宋"/>
          <w:szCs w:val="32"/>
          <w:lang w:val="en-US" w:eastAsia="zh-CN"/>
        </w:rPr>
        <w:t>。</w:t>
      </w:r>
      <w:r>
        <w:rPr>
          <w:rFonts w:hint="eastAsia" w:ascii="LinTimes" w:hAnsi="LinTimes" w:eastAsia="仿宋_GB2312" w:cs="LinTimes"/>
          <w:kern w:val="0"/>
          <w:sz w:val="32"/>
          <w:szCs w:val="22"/>
          <w:lang w:val="en-US" w:eastAsia="zh-CN" w:bidi="ar-SA"/>
        </w:rPr>
        <w:t>围绕</w:t>
      </w:r>
      <w:r>
        <w:rPr>
          <w:rFonts w:hint="eastAsia" w:ascii="LinTimes" w:hAnsi="LinTimes" w:cs="LinTimes"/>
          <w:kern w:val="0"/>
          <w:sz w:val="32"/>
          <w:szCs w:val="22"/>
          <w:lang w:val="en-US" w:eastAsia="zh-CN" w:bidi="ar-SA"/>
        </w:rPr>
        <w:t>我市</w:t>
      </w:r>
      <w:r>
        <w:rPr>
          <w:rFonts w:hint="eastAsia" w:ascii="LinTimes" w:hAnsi="LinTimes" w:eastAsia="仿宋_GB2312" w:cs="LinTimes"/>
          <w:kern w:val="0"/>
          <w:sz w:val="32"/>
          <w:szCs w:val="22"/>
          <w:lang w:val="en-US" w:eastAsia="zh-CN" w:bidi="ar-SA"/>
        </w:rPr>
        <w:t>产业</w:t>
      </w:r>
      <w:r>
        <w:rPr>
          <w:rFonts w:hint="eastAsia" w:ascii="LinTimes" w:hAnsi="LinTimes" w:cs="LinTimes"/>
          <w:kern w:val="0"/>
          <w:sz w:val="32"/>
          <w:szCs w:val="22"/>
          <w:lang w:val="en-US" w:eastAsia="zh-CN" w:bidi="ar-SA"/>
        </w:rPr>
        <w:t>发展和</w:t>
      </w:r>
      <w:r>
        <w:rPr>
          <w:rFonts w:hint="eastAsia" w:ascii="LinTimes" w:hAnsi="LinTimes" w:eastAsia="仿宋_GB2312" w:cs="LinTimes"/>
          <w:kern w:val="0"/>
          <w:sz w:val="32"/>
          <w:szCs w:val="22"/>
          <w:lang w:val="en-US" w:eastAsia="zh-CN" w:bidi="ar-SA"/>
        </w:rPr>
        <w:t>科技</w:t>
      </w:r>
      <w:r>
        <w:rPr>
          <w:rFonts w:hint="eastAsia" w:ascii="LinTimes" w:hAnsi="LinTimes" w:cs="LinTimes"/>
          <w:kern w:val="0"/>
          <w:sz w:val="32"/>
          <w:szCs w:val="22"/>
          <w:lang w:val="en-US" w:eastAsia="zh-CN" w:bidi="ar-SA"/>
        </w:rPr>
        <w:t>进步</w:t>
      </w:r>
      <w:r>
        <w:rPr>
          <w:rFonts w:hint="eastAsia" w:ascii="LinTimes" w:hAnsi="LinTimes" w:eastAsia="仿宋_GB2312" w:cs="LinTimes"/>
          <w:kern w:val="0"/>
          <w:sz w:val="32"/>
          <w:szCs w:val="22"/>
          <w:lang w:val="en-US" w:eastAsia="zh-CN" w:bidi="ar-SA"/>
        </w:rPr>
        <w:t>需求，发布完成</w:t>
      </w:r>
      <w:r>
        <w:rPr>
          <w:rFonts w:hint="eastAsia" w:ascii="LinTimes" w:hAnsi="LinTimes" w:cs="LinTimes"/>
          <w:kern w:val="0"/>
          <w:sz w:val="32"/>
          <w:szCs w:val="22"/>
          <w:lang w:val="en-US" w:eastAsia="zh-CN" w:bidi="ar-SA"/>
        </w:rPr>
        <w:t>重大</w:t>
      </w:r>
      <w:r>
        <w:rPr>
          <w:rFonts w:hint="eastAsia" w:ascii="LinTimes" w:hAnsi="LinTimes" w:eastAsia="仿宋_GB2312" w:cs="LinTimes"/>
          <w:kern w:val="0"/>
          <w:sz w:val="32"/>
          <w:szCs w:val="22"/>
          <w:lang w:val="en-US" w:eastAsia="zh-CN" w:bidi="ar-SA"/>
        </w:rPr>
        <w:t>项目所需的人才指标（包含人才行业类型、专业程度、经验储备等）</w:t>
      </w:r>
      <w:r>
        <w:rPr>
          <w:rFonts w:hint="eastAsia" w:ascii="LinTimes" w:hAnsi="LinTimes" w:cs="LinTimes"/>
          <w:kern w:val="0"/>
          <w:sz w:val="32"/>
          <w:szCs w:val="22"/>
          <w:lang w:val="en-US" w:eastAsia="zh-CN" w:bidi="ar-SA"/>
        </w:rPr>
        <w:t>、</w:t>
      </w:r>
      <w:r>
        <w:rPr>
          <w:rFonts w:hint="eastAsia" w:ascii="LinTimes" w:hAnsi="LinTimes" w:eastAsia="仿宋_GB2312" w:cs="LinTimes"/>
          <w:kern w:val="0"/>
          <w:sz w:val="32"/>
          <w:szCs w:val="22"/>
          <w:lang w:val="en-US" w:eastAsia="zh-CN" w:bidi="ar-SA"/>
        </w:rPr>
        <w:t>可提供的经费资助</w:t>
      </w:r>
      <w:r>
        <w:rPr>
          <w:rFonts w:hint="eastAsia" w:ascii="LinTimes" w:hAnsi="LinTimes" w:cs="LinTimes"/>
          <w:kern w:val="0"/>
          <w:sz w:val="32"/>
          <w:szCs w:val="22"/>
          <w:lang w:val="en-US" w:eastAsia="zh-CN" w:bidi="ar-SA"/>
        </w:rPr>
        <w:t>以及</w:t>
      </w:r>
      <w:r>
        <w:rPr>
          <w:rFonts w:hint="eastAsia" w:ascii="LinTimes" w:hAnsi="LinTimes" w:eastAsia="仿宋_GB2312" w:cs="LinTimes"/>
          <w:kern w:val="0"/>
          <w:sz w:val="32"/>
          <w:szCs w:val="22"/>
          <w:lang w:val="en-US" w:eastAsia="zh-CN" w:bidi="ar-SA"/>
        </w:rPr>
        <w:t>相关待遇</w:t>
      </w:r>
      <w:r>
        <w:rPr>
          <w:rFonts w:hint="eastAsia" w:ascii="LinTimes" w:hAnsi="LinTimes" w:cs="LinTimes"/>
          <w:kern w:val="0"/>
          <w:sz w:val="32"/>
          <w:szCs w:val="22"/>
          <w:lang w:val="en-US" w:eastAsia="zh-CN" w:bidi="ar-SA"/>
        </w:rPr>
        <w:t>。面向全球，</w:t>
      </w:r>
      <w:r>
        <w:rPr>
          <w:rFonts w:hint="eastAsia" w:ascii="LinTimes" w:hAnsi="LinTimes" w:eastAsia="仿宋_GB2312" w:cs="LinTimes"/>
          <w:kern w:val="0"/>
          <w:sz w:val="32"/>
          <w:szCs w:val="22"/>
          <w:lang w:val="en-US" w:eastAsia="zh-CN" w:bidi="ar-SA"/>
        </w:rPr>
        <w:t>及时检索</w:t>
      </w:r>
      <w:r>
        <w:rPr>
          <w:rFonts w:hint="eastAsia" w:ascii="LinTimes" w:hAnsi="LinTimes" w:cs="LinTimes"/>
          <w:kern w:val="0"/>
          <w:sz w:val="32"/>
          <w:szCs w:val="22"/>
          <w:lang w:val="en-US" w:eastAsia="zh-CN" w:bidi="ar-SA"/>
        </w:rPr>
        <w:t>、招募和聘用</w:t>
      </w:r>
      <w:r>
        <w:rPr>
          <w:rFonts w:hint="eastAsia" w:ascii="LinTimes" w:hAnsi="LinTimes" w:eastAsia="仿宋_GB2312" w:cs="LinTimes"/>
          <w:kern w:val="0"/>
          <w:sz w:val="32"/>
          <w:szCs w:val="22"/>
          <w:lang w:val="en-US" w:eastAsia="zh-CN" w:bidi="ar-SA"/>
        </w:rPr>
        <w:t>符合条件的高层次科技精准引进项目急需紧缺的科研创新领军人才及团队、科技创业投资人、高级企业经营管理人才、高技能领军人才。确保</w:t>
      </w:r>
      <w:r>
        <w:rPr>
          <w:rFonts w:hint="eastAsia" w:ascii="LinTimes" w:hAnsi="LinTimes" w:cs="LinTimes"/>
          <w:kern w:val="0"/>
          <w:sz w:val="32"/>
          <w:szCs w:val="22"/>
          <w:lang w:val="en-US" w:eastAsia="zh-CN" w:bidi="ar-SA"/>
        </w:rPr>
        <w:t>晋城</w:t>
      </w:r>
      <w:r>
        <w:rPr>
          <w:rFonts w:hint="eastAsia" w:ascii="LinTimes" w:hAnsi="LinTimes" w:eastAsia="仿宋_GB2312" w:cs="LinTimes"/>
          <w:kern w:val="0"/>
          <w:sz w:val="32"/>
          <w:szCs w:val="22"/>
          <w:lang w:val="en-US" w:eastAsia="zh-CN" w:bidi="ar-SA"/>
        </w:rPr>
        <w:t>市内项目人才信息与外界人才信息及时进行交流互换，做到有效沟通</w:t>
      </w:r>
      <w:r>
        <w:rPr>
          <w:rFonts w:hint="eastAsia" w:ascii="LinTimes" w:hAnsi="LinTimes" w:cs="LinTimes"/>
          <w:kern w:val="0"/>
          <w:sz w:val="32"/>
          <w:szCs w:val="22"/>
          <w:lang w:val="en-US" w:eastAsia="zh-CN" w:bidi="ar-SA"/>
        </w:rPr>
        <w:t>和</w:t>
      </w:r>
      <w:r>
        <w:rPr>
          <w:rFonts w:hint="eastAsia" w:ascii="LinTimes" w:hAnsi="LinTimes" w:eastAsia="仿宋_GB2312" w:cs="LinTimes"/>
          <w:kern w:val="0"/>
          <w:sz w:val="32"/>
          <w:szCs w:val="22"/>
          <w:lang w:val="en-US" w:eastAsia="zh-CN" w:bidi="ar-SA"/>
        </w:rPr>
        <w:t>匹配。</w:t>
      </w:r>
    </w:p>
    <w:p w14:paraId="4A31D45B">
      <w:pPr>
        <w:pStyle w:val="8"/>
        <w:bidi w:val="0"/>
        <w:rPr>
          <w:rFonts w:hint="eastAsia"/>
        </w:rPr>
      </w:pPr>
      <w:r>
        <w:rPr>
          <w:rFonts w:hint="eastAsia"/>
          <w:lang w:val="en-US" w:eastAsia="zh-CN"/>
        </w:rPr>
        <w:t>四</w:t>
      </w:r>
      <w:r>
        <w:rPr>
          <w:rFonts w:hint="eastAsia"/>
        </w:rPr>
        <w:t>、</w:t>
      </w:r>
      <w:r>
        <w:rPr>
          <w:rFonts w:hint="eastAsia"/>
          <w:lang w:val="en-US" w:eastAsia="zh-CN"/>
        </w:rPr>
        <w:t>着力推进</w:t>
      </w:r>
      <w:r>
        <w:rPr>
          <w:rFonts w:hint="eastAsia"/>
        </w:rPr>
        <w:t>社会保险</w:t>
      </w:r>
      <w:r>
        <w:rPr>
          <w:rFonts w:hint="eastAsia"/>
          <w:lang w:val="en-US" w:eastAsia="zh-CN"/>
        </w:rPr>
        <w:t>服务</w:t>
      </w:r>
      <w:r>
        <w:rPr>
          <w:rFonts w:hint="eastAsia"/>
        </w:rPr>
        <w:t>平台建</w:t>
      </w:r>
      <w:r>
        <w:rPr>
          <w:rFonts w:hint="eastAsia"/>
          <w:lang w:val="en-US" w:eastAsia="zh-CN"/>
        </w:rPr>
        <w:t>设</w:t>
      </w:r>
    </w:p>
    <w:p w14:paraId="2D8B1BC5">
      <w:pPr>
        <w:ind w:firstLine="640"/>
        <w:rPr>
          <w:rFonts w:hint="default" w:ascii="LinTimes" w:hAnsi="LinTimes" w:cs="LinTimes"/>
          <w:kern w:val="0"/>
          <w:lang w:val="en-US" w:eastAsia="zh-CN"/>
        </w:rPr>
      </w:pPr>
      <w:r>
        <w:rPr>
          <w:rFonts w:hint="eastAsia" w:ascii="LinTimes" w:hAnsi="LinTimes" w:cs="LinTimes"/>
          <w:kern w:val="0"/>
        </w:rPr>
        <w:t>整合“五险”数据资源，</w:t>
      </w:r>
      <w:r>
        <w:rPr>
          <w:rFonts w:hint="eastAsia" w:ascii="LinTimes" w:hAnsi="LinTimes" w:cs="LinTimes"/>
          <w:kern w:val="0"/>
          <w:lang w:val="en-US" w:eastAsia="zh-CN"/>
        </w:rPr>
        <w:t>搭建社会保险服务平台，探索推出全时段网上经办服务。简化线上业务办理流程，提高平台服务便捷度。</w:t>
      </w:r>
      <w:r>
        <w:rPr>
          <w:rFonts w:hint="eastAsia" w:ascii="LinTimes" w:hAnsi="LinTimes" w:cs="LinTimes"/>
          <w:kern w:val="0"/>
        </w:rPr>
        <w:t>建立健全社会保险转移接续、新就业形态人员职业伤害保障等信息系统，优化灵活就业人员社会保险经办服务。</w:t>
      </w:r>
      <w:r>
        <w:rPr>
          <w:rFonts w:hint="eastAsia" w:ascii="LinTimes" w:hAnsi="LinTimes" w:cs="LinTimes"/>
          <w:kern w:val="0"/>
          <w:lang w:val="en-US" w:eastAsia="zh-CN"/>
        </w:rPr>
        <w:t>健全</w:t>
      </w:r>
      <w:r>
        <w:rPr>
          <w:rFonts w:hint="eastAsia" w:ascii="LinTimes" w:hAnsi="LinTimes" w:cs="LinTimes"/>
          <w:kern w:val="0"/>
        </w:rPr>
        <w:t>规范社会保险费征收，优化</w:t>
      </w:r>
      <w:r>
        <w:rPr>
          <w:rFonts w:hint="eastAsia" w:ascii="LinTimes" w:hAnsi="LinTimes" w:cs="LinTimes"/>
          <w:kern w:val="0"/>
          <w:lang w:val="en-US" w:eastAsia="zh-CN"/>
        </w:rPr>
        <w:t>各项缴费服务。拓展手机APP、微信小程序、微信城市服务、支付宝市民中心等多样化线上服务渠道，全面提高网上、掌上服务效率和水平。</w:t>
      </w:r>
    </w:p>
    <w:p w14:paraId="74D7EF71">
      <w:pPr>
        <w:pStyle w:val="7"/>
        <w:bidi w:val="0"/>
        <w:ind w:left="0" w:leftChars="0" w:firstLine="0" w:firstLineChars="0"/>
        <w:jc w:val="center"/>
        <w:rPr>
          <w:rFonts w:hint="eastAsia" w:ascii="宋体" w:hAnsi="宋体" w:eastAsia="宋体" w:cs="宋体"/>
        </w:rPr>
      </w:pPr>
      <w:bookmarkStart w:id="37" w:name="_Toc22641"/>
      <w:r>
        <w:rPr>
          <w:rFonts w:hint="eastAsia" w:ascii="宋体" w:hAnsi="宋体" w:eastAsia="宋体" w:cs="宋体"/>
        </w:rPr>
        <w:t>第三节</w:t>
      </w:r>
      <w:r>
        <w:rPr>
          <w:rFonts w:hint="eastAsia" w:ascii="宋体" w:hAnsi="宋体" w:eastAsia="宋体" w:cs="宋体"/>
          <w:lang w:val="en-US" w:eastAsia="zh-CN"/>
        </w:rPr>
        <w:t xml:space="preserve"> </w:t>
      </w:r>
      <w:r>
        <w:rPr>
          <w:rFonts w:hint="eastAsia" w:ascii="宋体" w:hAnsi="宋体" w:eastAsia="宋体" w:cs="宋体"/>
        </w:rPr>
        <w:t>持续推动公共服务标准化</w:t>
      </w:r>
      <w:bookmarkEnd w:id="37"/>
    </w:p>
    <w:p w14:paraId="5D795290">
      <w:pPr>
        <w:pStyle w:val="8"/>
        <w:bidi w:val="0"/>
        <w:rPr>
          <w:rFonts w:hint="default" w:ascii="LinTimes" w:hAnsi="LinTimes" w:eastAsia="仿宋_GB2312" w:cs="LinTimes"/>
          <w:b w:val="0"/>
          <w:kern w:val="0"/>
          <w:sz w:val="32"/>
          <w:szCs w:val="22"/>
          <w:lang w:val="en-US" w:eastAsia="zh-CN" w:bidi="ar-SA"/>
        </w:rPr>
      </w:pPr>
      <w:r>
        <w:rPr>
          <w:rFonts w:hint="eastAsia" w:ascii="LinTimes" w:hAnsi="LinTimes" w:eastAsia="仿宋_GB2312" w:cs="LinTimes"/>
          <w:b w:val="0"/>
          <w:kern w:val="0"/>
          <w:sz w:val="32"/>
          <w:szCs w:val="22"/>
          <w:lang w:val="en-US" w:eastAsia="zh-CN" w:bidi="ar-SA"/>
        </w:rPr>
        <w:t>制定</w:t>
      </w:r>
      <w:r>
        <w:rPr>
          <w:rFonts w:hint="eastAsia" w:ascii="LinTimes" w:hAnsi="LinTimes" w:cs="LinTimes"/>
          <w:b w:val="0"/>
          <w:kern w:val="0"/>
          <w:sz w:val="32"/>
          <w:szCs w:val="22"/>
          <w:lang w:val="en-US" w:eastAsia="zh-CN" w:bidi="ar-SA"/>
        </w:rPr>
        <w:t>和</w:t>
      </w:r>
      <w:r>
        <w:rPr>
          <w:rFonts w:hint="eastAsia" w:ascii="LinTimes" w:hAnsi="LinTimes" w:eastAsia="仿宋_GB2312" w:cs="LinTimes"/>
          <w:b w:val="0"/>
          <w:kern w:val="0"/>
          <w:sz w:val="32"/>
          <w:szCs w:val="22"/>
          <w:lang w:val="en-US" w:eastAsia="zh-CN" w:bidi="ar-SA"/>
        </w:rPr>
        <w:t>完善公共服务标准化</w:t>
      </w:r>
      <w:r>
        <w:rPr>
          <w:rFonts w:hint="eastAsia" w:ascii="LinTimes" w:hAnsi="LinTimes" w:cs="LinTimes"/>
          <w:b w:val="0"/>
          <w:kern w:val="0"/>
          <w:sz w:val="32"/>
          <w:szCs w:val="22"/>
          <w:lang w:val="en-US" w:eastAsia="zh-CN" w:bidi="ar-SA"/>
        </w:rPr>
        <w:t>体系</w:t>
      </w:r>
      <w:r>
        <w:rPr>
          <w:rFonts w:hint="eastAsia" w:ascii="LinTimes" w:hAnsi="LinTimes" w:eastAsia="仿宋_GB2312" w:cs="LinTimes"/>
          <w:b w:val="0"/>
          <w:kern w:val="0"/>
          <w:sz w:val="32"/>
          <w:szCs w:val="22"/>
          <w:lang w:val="en-US" w:eastAsia="zh-CN" w:bidi="ar-SA"/>
        </w:rPr>
        <w:t>，规范</w:t>
      </w:r>
      <w:r>
        <w:rPr>
          <w:rFonts w:hint="eastAsia" w:ascii="LinTimes" w:hAnsi="LinTimes" w:cs="LinTimes"/>
          <w:b w:val="0"/>
          <w:kern w:val="0"/>
          <w:sz w:val="32"/>
          <w:szCs w:val="22"/>
          <w:lang w:val="en-US" w:eastAsia="zh-CN" w:bidi="ar-SA"/>
        </w:rPr>
        <w:t>各项工作程序、制度和内容</w:t>
      </w:r>
      <w:r>
        <w:rPr>
          <w:rFonts w:hint="eastAsia" w:ascii="LinTimes" w:hAnsi="LinTimes" w:eastAsia="仿宋_GB2312" w:cs="LinTimes"/>
          <w:b w:val="0"/>
          <w:kern w:val="0"/>
          <w:sz w:val="32"/>
          <w:szCs w:val="22"/>
          <w:lang w:val="en-US" w:eastAsia="zh-CN" w:bidi="ar-SA"/>
        </w:rPr>
        <w:t>，</w:t>
      </w:r>
      <w:r>
        <w:rPr>
          <w:rFonts w:hint="eastAsia" w:ascii="LinTimes" w:hAnsi="LinTimes" w:cs="LinTimes"/>
          <w:b w:val="0"/>
          <w:kern w:val="0"/>
          <w:sz w:val="32"/>
          <w:szCs w:val="22"/>
          <w:lang w:val="en-US" w:eastAsia="zh-CN" w:bidi="ar-SA"/>
        </w:rPr>
        <w:t>提高人社公共服务水平，形成有序、高效、全面的工作新格局。</w:t>
      </w:r>
    </w:p>
    <w:p w14:paraId="3F799FFE">
      <w:pPr>
        <w:pStyle w:val="8"/>
        <w:bidi w:val="0"/>
        <w:rPr>
          <w:rFonts w:hint="eastAsia"/>
        </w:rPr>
      </w:pPr>
      <w:r>
        <w:rPr>
          <w:rFonts w:hint="eastAsia"/>
        </w:rPr>
        <w:t>一、开展公共服务标准制度修订</w:t>
      </w:r>
    </w:p>
    <w:p w14:paraId="6A71576C">
      <w:pPr>
        <w:pStyle w:val="8"/>
        <w:bidi w:val="0"/>
        <w:rPr>
          <w:rFonts w:hint="eastAsia" w:ascii="LinTimes" w:hAnsi="LinTimes" w:eastAsia="仿宋_GB2312" w:cs="LinTimes"/>
          <w:b w:val="0"/>
          <w:kern w:val="0"/>
          <w:sz w:val="32"/>
          <w:szCs w:val="22"/>
          <w:lang w:val="en-US" w:eastAsia="zh-CN" w:bidi="ar-SA"/>
        </w:rPr>
      </w:pPr>
      <w:r>
        <w:rPr>
          <w:rFonts w:hint="eastAsia" w:ascii="LinTimes" w:hAnsi="LinTimes" w:eastAsia="仿宋_GB2312" w:cs="LinTimes"/>
          <w:b w:val="0"/>
          <w:kern w:val="0"/>
          <w:sz w:val="32"/>
          <w:szCs w:val="22"/>
          <w:lang w:val="en-US" w:eastAsia="zh-CN" w:bidi="ar-SA"/>
        </w:rPr>
        <w:t>建立健全人力资源和社会保障公共服务标准体系，开展公共就业服务、社会保险服务、人事人才管理、劳动关系、调解仲裁和劳动保障监察等领域标准的修订。完善服务流程、设施设备、人员配备等软硬件标准，推动区域性人社基本公共服务标准体系协同联动、有效衔接，努力提高服务水平。建立完善公共服务评估制度，对公共服务需求、过程和效果开展有效评估。在国家信息化标准体系下，建立健全区域性“数字人社”标准规范工作机制，制定科学的业务标准化方法，制定服务事项统一业务标准，打造同标准线上应用和服务标准。</w:t>
      </w:r>
    </w:p>
    <w:p w14:paraId="31F4848C">
      <w:pPr>
        <w:pStyle w:val="8"/>
        <w:bidi w:val="0"/>
        <w:rPr>
          <w:rFonts w:hint="eastAsia"/>
        </w:rPr>
      </w:pPr>
      <w:r>
        <w:rPr>
          <w:rFonts w:hint="eastAsia"/>
        </w:rPr>
        <w:t>二、探索公共服务实施标准化试点</w:t>
      </w:r>
    </w:p>
    <w:p w14:paraId="014D6A0E">
      <w:pPr>
        <w:bidi w:val="0"/>
        <w:rPr>
          <w:rFonts w:hint="default"/>
          <w:lang w:val="en-US" w:eastAsia="zh-CN"/>
        </w:rPr>
      </w:pPr>
      <w:r>
        <w:rPr>
          <w:rFonts w:hint="eastAsia"/>
          <w:lang w:val="en-US" w:eastAsia="zh-CN"/>
        </w:rPr>
        <w:t>围绕人力资源和社会保障全部基本服务领域，进行全方位、综合性试点和探索。选择一个或者多个基本公共服务领域，或重点针对一个或者多个标准化工作机制，开展专项试点和探索。选择经济社会发展一体化程度较高的区域，探索开展区域性基本公共服务标准体系协作联动，促进标准体系有效衔接。</w:t>
      </w:r>
    </w:p>
    <w:p w14:paraId="2E242BFC">
      <w:pPr>
        <w:pStyle w:val="6"/>
        <w:bidi w:val="0"/>
        <w:ind w:left="0" w:leftChars="0" w:firstLine="0" w:firstLineChars="0"/>
        <w:jc w:val="center"/>
        <w:rPr>
          <w:rFonts w:hint="eastAsia" w:ascii="宋体" w:hAnsi="宋体" w:eastAsia="宋体" w:cs="宋体"/>
          <w:sz w:val="32"/>
          <w:szCs w:val="32"/>
          <w:lang w:val="en-US" w:eastAsia="zh-CN"/>
        </w:rPr>
      </w:pPr>
    </w:p>
    <w:p w14:paraId="5E8836E5">
      <w:pPr>
        <w:rPr>
          <w:rFonts w:hint="eastAsia" w:ascii="宋体" w:hAnsi="宋体" w:eastAsia="宋体" w:cs="宋体"/>
          <w:sz w:val="32"/>
          <w:szCs w:val="32"/>
          <w:lang w:val="en-US" w:eastAsia="zh-CN"/>
        </w:rPr>
      </w:pPr>
    </w:p>
    <w:p w14:paraId="119BC081">
      <w:pPr>
        <w:pStyle w:val="2"/>
        <w:rPr>
          <w:rFonts w:hint="eastAsia" w:ascii="宋体" w:hAnsi="宋体" w:eastAsia="宋体" w:cs="宋体"/>
          <w:sz w:val="32"/>
          <w:szCs w:val="32"/>
          <w:lang w:val="en-US" w:eastAsia="zh-CN"/>
        </w:rPr>
      </w:pPr>
    </w:p>
    <w:p w14:paraId="495FA7E8">
      <w:pPr>
        <w:pStyle w:val="4"/>
        <w:rPr>
          <w:rFonts w:hint="eastAsia" w:ascii="宋体" w:hAnsi="宋体" w:eastAsia="宋体" w:cs="宋体"/>
          <w:sz w:val="32"/>
          <w:szCs w:val="32"/>
          <w:lang w:val="en-US" w:eastAsia="zh-CN"/>
        </w:rPr>
      </w:pPr>
    </w:p>
    <w:p w14:paraId="756A9B2C">
      <w:pPr>
        <w:pStyle w:val="5"/>
        <w:rPr>
          <w:rFonts w:hint="eastAsia" w:ascii="宋体" w:hAnsi="宋体" w:eastAsia="宋体" w:cs="宋体"/>
          <w:sz w:val="32"/>
          <w:szCs w:val="32"/>
          <w:lang w:val="en-US" w:eastAsia="zh-CN"/>
        </w:rPr>
      </w:pPr>
    </w:p>
    <w:p w14:paraId="35BF1E25">
      <w:pPr>
        <w:rPr>
          <w:rFonts w:hint="eastAsia" w:ascii="宋体" w:hAnsi="宋体" w:eastAsia="宋体" w:cs="宋体"/>
          <w:sz w:val="32"/>
          <w:szCs w:val="32"/>
          <w:lang w:val="en-US" w:eastAsia="zh-CN"/>
        </w:rPr>
      </w:pPr>
    </w:p>
    <w:p w14:paraId="4304D98C">
      <w:pPr>
        <w:pStyle w:val="2"/>
        <w:rPr>
          <w:rFonts w:hint="eastAsia" w:ascii="宋体" w:hAnsi="宋体" w:eastAsia="宋体" w:cs="宋体"/>
          <w:sz w:val="32"/>
          <w:szCs w:val="32"/>
          <w:lang w:val="en-US" w:eastAsia="zh-CN"/>
        </w:rPr>
      </w:pPr>
    </w:p>
    <w:p w14:paraId="0812E42E">
      <w:pPr>
        <w:pStyle w:val="4"/>
        <w:rPr>
          <w:rFonts w:hint="eastAsia" w:ascii="宋体" w:hAnsi="宋体" w:eastAsia="宋体" w:cs="宋体"/>
          <w:sz w:val="32"/>
          <w:szCs w:val="32"/>
          <w:lang w:val="en-US" w:eastAsia="zh-CN"/>
        </w:rPr>
      </w:pPr>
    </w:p>
    <w:p w14:paraId="600F2782">
      <w:pPr>
        <w:pStyle w:val="5"/>
        <w:rPr>
          <w:rFonts w:hint="eastAsia" w:ascii="宋体" w:hAnsi="宋体" w:eastAsia="宋体" w:cs="宋体"/>
          <w:sz w:val="32"/>
          <w:szCs w:val="32"/>
          <w:lang w:val="en-US" w:eastAsia="zh-CN"/>
        </w:rPr>
      </w:pPr>
    </w:p>
    <w:p w14:paraId="48105619">
      <w:pPr>
        <w:rPr>
          <w:rFonts w:hint="eastAsia" w:ascii="宋体" w:hAnsi="宋体" w:eastAsia="宋体" w:cs="宋体"/>
          <w:sz w:val="32"/>
          <w:szCs w:val="32"/>
          <w:lang w:val="en-US" w:eastAsia="zh-CN"/>
        </w:rPr>
      </w:pPr>
    </w:p>
    <w:p w14:paraId="259B33CB">
      <w:pPr>
        <w:pStyle w:val="2"/>
        <w:rPr>
          <w:rFonts w:hint="eastAsia" w:ascii="宋体" w:hAnsi="宋体" w:eastAsia="宋体" w:cs="宋体"/>
          <w:sz w:val="32"/>
          <w:szCs w:val="32"/>
          <w:lang w:val="en-US" w:eastAsia="zh-CN"/>
        </w:rPr>
      </w:pPr>
    </w:p>
    <w:p w14:paraId="70544714">
      <w:pPr>
        <w:pStyle w:val="4"/>
        <w:rPr>
          <w:rFonts w:hint="eastAsia" w:ascii="宋体" w:hAnsi="宋体" w:eastAsia="宋体" w:cs="宋体"/>
          <w:sz w:val="32"/>
          <w:szCs w:val="32"/>
          <w:lang w:val="en-US" w:eastAsia="zh-CN"/>
        </w:rPr>
      </w:pPr>
    </w:p>
    <w:p w14:paraId="405D11B4">
      <w:pPr>
        <w:pStyle w:val="5"/>
        <w:rPr>
          <w:rFonts w:hint="eastAsia"/>
          <w:lang w:val="en-US" w:eastAsia="zh-CN"/>
        </w:rPr>
      </w:pPr>
    </w:p>
    <w:p w14:paraId="0CBE42AB">
      <w:pPr>
        <w:pStyle w:val="6"/>
        <w:bidi w:val="0"/>
        <w:ind w:left="0" w:leftChars="0" w:firstLine="0" w:firstLineChars="0"/>
        <w:jc w:val="center"/>
        <w:rPr>
          <w:rFonts w:hint="default" w:ascii="黑体" w:hAnsi="黑体" w:eastAsia="黑体" w:cs="黑体"/>
          <w:sz w:val="32"/>
          <w:szCs w:val="32"/>
        </w:rPr>
      </w:pPr>
      <w:bookmarkStart w:id="38" w:name="_Toc32527"/>
      <w:r>
        <w:rPr>
          <w:rFonts w:hint="eastAsia" w:ascii="黑体" w:hAnsi="黑体" w:eastAsia="黑体" w:cs="黑体"/>
          <w:sz w:val="32"/>
          <w:szCs w:val="32"/>
          <w:lang w:val="en-US" w:eastAsia="zh-CN"/>
        </w:rPr>
        <w:t>第七章 强化规划实施保障</w:t>
      </w:r>
      <w:bookmarkEnd w:id="38"/>
    </w:p>
    <w:p w14:paraId="0190600C">
      <w:pPr>
        <w:pStyle w:val="3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仿宋_GB2312" w:cs="Times New Roman"/>
          <w:color w:val="auto"/>
          <w:kern w:val="0"/>
          <w:sz w:val="32"/>
          <w:szCs w:val="32"/>
          <w:lang w:eastAsia="zh-CN"/>
        </w:rPr>
        <w:t>保障人力资源</w:t>
      </w:r>
      <w:r>
        <w:rPr>
          <w:rFonts w:hint="eastAsia" w:ascii="Times New Roman" w:hAnsi="Times New Roman" w:eastAsia="仿宋_GB2312" w:cs="Times New Roman"/>
          <w:color w:val="auto"/>
          <w:kern w:val="0"/>
          <w:sz w:val="32"/>
          <w:szCs w:val="32"/>
          <w:lang w:val="en-US" w:eastAsia="zh-CN"/>
        </w:rPr>
        <w:t>和</w:t>
      </w:r>
      <w:r>
        <w:rPr>
          <w:rFonts w:hint="eastAsia" w:ascii="Times New Roman" w:hAnsi="Times New Roman" w:eastAsia="仿宋_GB2312" w:cs="Times New Roman"/>
          <w:color w:val="auto"/>
          <w:kern w:val="0"/>
          <w:sz w:val="32"/>
          <w:szCs w:val="32"/>
          <w:lang w:eastAsia="zh-CN"/>
        </w:rPr>
        <w:t>社会保障“</w:t>
      </w:r>
      <w:r>
        <w:rPr>
          <w:rFonts w:hint="default" w:ascii="Times New Roman" w:hAnsi="Times New Roman" w:eastAsia="仿宋_GB2312" w:cs="Times New Roman"/>
          <w:color w:val="auto"/>
          <w:kern w:val="0"/>
          <w:sz w:val="32"/>
          <w:szCs w:val="32"/>
        </w:rPr>
        <w:t>十</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五</w:t>
      </w:r>
      <w:r>
        <w:rPr>
          <w:rFonts w:hint="eastAsia" w:ascii="Times New Roman" w:hAnsi="Times New Roman" w:eastAsia="仿宋_GB2312" w:cs="Times New Roman"/>
          <w:color w:val="auto"/>
          <w:kern w:val="0"/>
          <w:sz w:val="32"/>
          <w:szCs w:val="32"/>
          <w:lang w:eastAsia="zh-CN"/>
        </w:rPr>
        <w:t>”规划有效实施，加大规划监测评估，</w:t>
      </w:r>
      <w:r>
        <w:rPr>
          <w:rFonts w:hint="default" w:ascii="Times New Roman" w:hAnsi="Times New Roman" w:eastAsia="仿宋_GB2312" w:cs="Times New Roman"/>
          <w:color w:val="auto"/>
          <w:kern w:val="0"/>
          <w:sz w:val="32"/>
          <w:szCs w:val="32"/>
        </w:rPr>
        <w:t>完善保障措施，</w:t>
      </w:r>
      <w:r>
        <w:rPr>
          <w:rFonts w:hint="eastAsia" w:ascii="Times New Roman" w:hAnsi="Times New Roman" w:eastAsia="仿宋_GB2312" w:cs="Times New Roman"/>
          <w:color w:val="auto"/>
          <w:kern w:val="0"/>
          <w:sz w:val="32"/>
          <w:szCs w:val="32"/>
          <w:lang w:eastAsia="zh-CN"/>
        </w:rPr>
        <w:t>确保</w:t>
      </w:r>
      <w:r>
        <w:rPr>
          <w:rFonts w:hint="default" w:ascii="Times New Roman" w:hAnsi="Times New Roman" w:eastAsia="仿宋_GB2312" w:cs="Times New Roman"/>
          <w:color w:val="auto"/>
          <w:kern w:val="0"/>
          <w:sz w:val="32"/>
          <w:szCs w:val="32"/>
        </w:rPr>
        <w:t>本规划确定的各项目标任务</w:t>
      </w:r>
      <w:r>
        <w:rPr>
          <w:rFonts w:hint="eastAsia" w:ascii="Times New Roman" w:hAnsi="Times New Roman" w:eastAsia="仿宋_GB2312" w:cs="Times New Roman"/>
          <w:color w:val="auto"/>
          <w:kern w:val="0"/>
          <w:sz w:val="32"/>
          <w:szCs w:val="32"/>
          <w:lang w:eastAsia="zh-CN"/>
        </w:rPr>
        <w:t>落到实处</w:t>
      </w:r>
      <w:r>
        <w:rPr>
          <w:rFonts w:hint="default" w:ascii="Times New Roman" w:hAnsi="Times New Roman" w:eastAsia="仿宋_GB2312" w:cs="Times New Roman"/>
          <w:color w:val="auto"/>
          <w:kern w:val="0"/>
          <w:sz w:val="32"/>
          <w:szCs w:val="32"/>
        </w:rPr>
        <w:t>。</w:t>
      </w:r>
      <w:bookmarkStart w:id="39" w:name="_Toc728506326"/>
      <w:bookmarkStart w:id="40" w:name="_Toc424885570"/>
      <w:bookmarkStart w:id="41" w:name="_Toc1925596281"/>
      <w:bookmarkStart w:id="42" w:name="_Toc1388616907"/>
    </w:p>
    <w:p w14:paraId="6927FE76">
      <w:pPr>
        <w:pStyle w:val="7"/>
        <w:bidi w:val="0"/>
        <w:ind w:left="0" w:leftChars="0" w:firstLine="0" w:firstLineChars="0"/>
        <w:jc w:val="center"/>
        <w:rPr>
          <w:rFonts w:hint="eastAsia" w:ascii="宋体" w:hAnsi="宋体" w:eastAsia="宋体" w:cs="宋体"/>
        </w:rPr>
      </w:pPr>
      <w:bookmarkStart w:id="43" w:name="_Toc13540"/>
      <w:r>
        <w:rPr>
          <w:rFonts w:hint="eastAsia" w:ascii="宋体" w:hAnsi="宋体" w:eastAsia="宋体" w:cs="宋体"/>
        </w:rPr>
        <w:t>第一节</w:t>
      </w:r>
      <w:r>
        <w:rPr>
          <w:rFonts w:hint="eastAsia" w:ascii="宋体" w:hAnsi="宋体" w:eastAsia="宋体" w:cs="宋体"/>
          <w:lang w:val="en-US" w:eastAsia="zh-CN"/>
        </w:rPr>
        <w:t xml:space="preserve"> 坚持依法行政</w:t>
      </w:r>
      <w:bookmarkEnd w:id="39"/>
      <w:bookmarkEnd w:id="40"/>
      <w:bookmarkEnd w:id="41"/>
      <w:bookmarkEnd w:id="42"/>
      <w:bookmarkEnd w:id="43"/>
    </w:p>
    <w:p w14:paraId="4C5A8526">
      <w:pPr>
        <w:pStyle w:val="3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Lines="0" w:afterLines="0"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全面贯彻</w:t>
      </w:r>
      <w:r>
        <w:rPr>
          <w:rFonts w:hint="eastAsia" w:ascii="Times New Roman" w:hAnsi="Times New Roman" w:eastAsia="仿宋_GB2312" w:cs="Times New Roman"/>
          <w:b w:val="0"/>
          <w:bCs w:val="0"/>
          <w:sz w:val="32"/>
          <w:szCs w:val="32"/>
          <w:lang w:val="en-US" w:eastAsia="zh-CN"/>
        </w:rPr>
        <w:t>落实人力资源和社会保障法律法规，推进依法行政。</w:t>
      </w:r>
      <w:r>
        <w:rPr>
          <w:rFonts w:hint="eastAsia" w:ascii="仿宋_GB2312" w:eastAsia="仿宋_GB2312"/>
          <w:sz w:val="32"/>
          <w:szCs w:val="32"/>
        </w:rPr>
        <w:t>建立和完善行政执法责任制和评议考核制度，强化行政监督和问责制度，规范行政执法行为，不断提高依法行政意识和能力。</w:t>
      </w:r>
      <w:r>
        <w:rPr>
          <w:rFonts w:hint="eastAsia" w:ascii="仿宋_GB2312" w:eastAsia="仿宋_GB2312"/>
          <w:sz w:val="32"/>
          <w:szCs w:val="32"/>
          <w:lang w:val="en-US" w:eastAsia="zh-CN"/>
        </w:rPr>
        <w:t>健全完善</w:t>
      </w:r>
      <w:r>
        <w:rPr>
          <w:rFonts w:hint="eastAsia" w:ascii="仿宋_GB2312" w:eastAsia="仿宋_GB2312"/>
          <w:sz w:val="32"/>
          <w:szCs w:val="32"/>
        </w:rPr>
        <w:t>劳动用工备案制度</w:t>
      </w:r>
      <w:r>
        <w:rPr>
          <w:rFonts w:hint="eastAsia" w:ascii="仿宋_GB2312" w:eastAsia="仿宋_GB2312"/>
          <w:sz w:val="32"/>
          <w:szCs w:val="32"/>
          <w:lang w:eastAsia="zh-CN"/>
        </w:rPr>
        <w:t>，</w:t>
      </w:r>
      <w:r>
        <w:rPr>
          <w:rFonts w:hint="eastAsia" w:ascii="仿宋_GB2312" w:eastAsia="仿宋_GB2312"/>
          <w:sz w:val="32"/>
          <w:szCs w:val="32"/>
        </w:rPr>
        <w:t>规范劳动用工秩序。</w:t>
      </w:r>
      <w:r>
        <w:rPr>
          <w:rFonts w:hint="eastAsia" w:ascii="仿宋_GB2312" w:eastAsia="仿宋_GB2312"/>
          <w:sz w:val="32"/>
          <w:szCs w:val="32"/>
          <w:lang w:val="en-US" w:eastAsia="zh-CN"/>
        </w:rPr>
        <w:t>建立</w:t>
      </w:r>
      <w:r>
        <w:rPr>
          <w:rFonts w:hint="eastAsia" w:ascii="仿宋_GB2312" w:eastAsia="仿宋_GB2312"/>
          <w:sz w:val="32"/>
          <w:szCs w:val="32"/>
        </w:rPr>
        <w:t>工资集体协商机制，</w:t>
      </w:r>
      <w:r>
        <w:rPr>
          <w:rFonts w:hint="eastAsia" w:ascii="仿宋_GB2312" w:eastAsia="仿宋_GB2312"/>
          <w:sz w:val="32"/>
          <w:szCs w:val="32"/>
          <w:lang w:val="en-US" w:eastAsia="zh-CN"/>
        </w:rPr>
        <w:t>推进</w:t>
      </w:r>
      <w:r>
        <w:rPr>
          <w:rFonts w:hint="eastAsia" w:ascii="仿宋_GB2312" w:eastAsia="仿宋_GB2312"/>
          <w:sz w:val="32"/>
          <w:szCs w:val="32"/>
        </w:rPr>
        <w:t>集体合同备案工作。</w:t>
      </w:r>
      <w:r>
        <w:rPr>
          <w:rFonts w:hint="eastAsia" w:ascii="仿宋_GB2312" w:eastAsia="仿宋_GB2312"/>
          <w:sz w:val="32"/>
          <w:szCs w:val="32"/>
          <w:lang w:val="en-US" w:eastAsia="zh-CN"/>
        </w:rPr>
        <w:t>加大面向社会普法工作力度，进一步做好普法宣传工作。</w:t>
      </w:r>
      <w:bookmarkStart w:id="44" w:name="_Toc424885571"/>
      <w:bookmarkStart w:id="45" w:name="_Toc1302098227"/>
      <w:bookmarkStart w:id="46" w:name="_Toc696997501"/>
      <w:bookmarkStart w:id="47" w:name="_Toc1545407088"/>
    </w:p>
    <w:p w14:paraId="4FDA655F">
      <w:pPr>
        <w:pStyle w:val="7"/>
        <w:bidi w:val="0"/>
        <w:ind w:left="0" w:leftChars="0" w:firstLine="0" w:firstLineChars="0"/>
        <w:jc w:val="center"/>
        <w:rPr>
          <w:rFonts w:hint="eastAsia" w:ascii="宋体" w:hAnsi="宋体" w:eastAsia="宋体" w:cs="宋体"/>
        </w:rPr>
      </w:pPr>
      <w:bookmarkStart w:id="48" w:name="_Toc4037"/>
      <w:r>
        <w:rPr>
          <w:rFonts w:hint="eastAsia" w:ascii="宋体" w:hAnsi="宋体" w:eastAsia="宋体" w:cs="宋体"/>
        </w:rPr>
        <w:t>第二节</w:t>
      </w:r>
      <w:r>
        <w:rPr>
          <w:rFonts w:hint="eastAsia" w:ascii="宋体" w:hAnsi="宋体" w:eastAsia="宋体" w:cs="宋体"/>
          <w:lang w:val="en-US" w:eastAsia="zh-CN"/>
        </w:rPr>
        <w:t xml:space="preserve"> 加大</w:t>
      </w:r>
      <w:r>
        <w:rPr>
          <w:rFonts w:hint="eastAsia" w:ascii="宋体" w:hAnsi="宋体" w:eastAsia="宋体" w:cs="宋体"/>
        </w:rPr>
        <w:t>科研支撑</w:t>
      </w:r>
      <w:bookmarkEnd w:id="48"/>
    </w:p>
    <w:p w14:paraId="7FE4A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整合人力资源和社会保障科研资源</w:t>
      </w:r>
      <w:r>
        <w:rPr>
          <w:rFonts w:hint="eastAsia"/>
          <w:sz w:val="32"/>
          <w:szCs w:val="32"/>
          <w:lang w:eastAsia="zh-CN"/>
        </w:rPr>
        <w:t>，</w:t>
      </w:r>
      <w:r>
        <w:rPr>
          <w:rFonts w:hint="eastAsia" w:ascii="仿宋_GB2312" w:eastAsia="仿宋_GB2312"/>
          <w:sz w:val="32"/>
          <w:szCs w:val="32"/>
        </w:rPr>
        <w:t>建立理论研究、技术开发与人力资源和社会保障事业发展的良性互动机制，进一步推动科研创新，为事业发展提供系统科学的理论指导和技术支撑。加强重点领域基础理论研究和重大政策研究，大力推广科研成果应用。</w:t>
      </w:r>
      <w:r>
        <w:rPr>
          <w:rFonts w:hint="eastAsia"/>
          <w:sz w:val="32"/>
          <w:szCs w:val="32"/>
          <w:lang w:val="en-US" w:eastAsia="zh-CN"/>
        </w:rPr>
        <w:t>健全</w:t>
      </w:r>
      <w:r>
        <w:rPr>
          <w:rFonts w:hint="eastAsia" w:ascii="仿宋_GB2312" w:eastAsia="仿宋_GB2312"/>
          <w:sz w:val="32"/>
          <w:szCs w:val="32"/>
        </w:rPr>
        <w:t>完善人力资源和社会保障专家库、资料库和基础数据库</w:t>
      </w:r>
      <w:r>
        <w:rPr>
          <w:rFonts w:hint="eastAsia"/>
          <w:sz w:val="32"/>
          <w:szCs w:val="32"/>
          <w:lang w:eastAsia="zh-CN"/>
        </w:rPr>
        <w:t>。</w:t>
      </w:r>
      <w:r>
        <w:rPr>
          <w:rFonts w:hint="eastAsia" w:ascii="仿宋_GB2312" w:eastAsia="仿宋_GB2312"/>
          <w:sz w:val="32"/>
          <w:szCs w:val="32"/>
        </w:rPr>
        <w:t>建立数据分析系统和专家决策支持系统。</w:t>
      </w:r>
    </w:p>
    <w:p w14:paraId="0D2FA2D2">
      <w:pPr>
        <w:pStyle w:val="7"/>
        <w:bidi w:val="0"/>
        <w:ind w:left="0" w:leftChars="0" w:firstLine="0" w:firstLineChars="0"/>
        <w:jc w:val="center"/>
        <w:rPr>
          <w:rFonts w:hint="eastAsia" w:ascii="宋体" w:hAnsi="宋体" w:eastAsia="宋体" w:cs="宋体"/>
          <w:lang w:eastAsia="zh-CN"/>
        </w:rPr>
      </w:pPr>
      <w:bookmarkStart w:id="49" w:name="_Toc23983"/>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 xml:space="preserve">节 </w:t>
      </w:r>
      <w:r>
        <w:rPr>
          <w:rFonts w:hint="eastAsia" w:ascii="宋体" w:hAnsi="宋体" w:eastAsia="宋体" w:cs="宋体"/>
          <w:lang w:val="en-US" w:eastAsia="zh-CN"/>
        </w:rPr>
        <w:t>完善</w:t>
      </w:r>
      <w:r>
        <w:rPr>
          <w:rFonts w:hint="eastAsia" w:ascii="宋体" w:hAnsi="宋体" w:eastAsia="宋体" w:cs="宋体"/>
        </w:rPr>
        <w:t>财</w:t>
      </w:r>
      <w:bookmarkEnd w:id="44"/>
      <w:r>
        <w:rPr>
          <w:rFonts w:hint="eastAsia" w:ascii="宋体" w:hAnsi="宋体" w:eastAsia="宋体" w:cs="宋体"/>
          <w:lang w:eastAsia="zh-CN"/>
        </w:rPr>
        <w:t>力保障</w:t>
      </w:r>
      <w:bookmarkEnd w:id="45"/>
      <w:bookmarkEnd w:id="46"/>
      <w:bookmarkEnd w:id="47"/>
      <w:bookmarkEnd w:id="49"/>
    </w:p>
    <w:p w14:paraId="0F260310">
      <w:pPr>
        <w:pStyle w:val="3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健全工作经费保障机制，创新财政保障机制</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完善财权事权划分，构建与事权匹配的人力资源社会保障公共服务经费分级保障机制</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探索政府购买服务新办法、新途径</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盘活存量财政资金，提高财政资金使用效率。</w:t>
      </w:r>
      <w:bookmarkStart w:id="50" w:name="_Toc424885572"/>
      <w:bookmarkStart w:id="51" w:name="_Toc1580669148"/>
      <w:bookmarkStart w:id="52" w:name="_Toc2039884116"/>
      <w:bookmarkStart w:id="53" w:name="_Toc1248010879"/>
      <w:r>
        <w:rPr>
          <w:rFonts w:hint="eastAsia" w:ascii="Times New Roman" w:hAnsi="Times New Roman" w:eastAsia="仿宋_GB2312" w:cs="Times New Roman"/>
          <w:color w:val="auto"/>
          <w:kern w:val="0"/>
          <w:sz w:val="32"/>
          <w:szCs w:val="32"/>
          <w:lang w:val="en-US" w:eastAsia="zh-CN"/>
        </w:rPr>
        <w:t>鼓励和引导社会多方人才资源开放投入。</w:t>
      </w:r>
    </w:p>
    <w:bookmarkEnd w:id="50"/>
    <w:bookmarkEnd w:id="51"/>
    <w:bookmarkEnd w:id="52"/>
    <w:bookmarkEnd w:id="53"/>
    <w:p w14:paraId="55D42787">
      <w:pPr>
        <w:pStyle w:val="7"/>
        <w:bidi w:val="0"/>
        <w:ind w:left="0" w:leftChars="0" w:firstLine="0" w:firstLineChars="0"/>
        <w:jc w:val="center"/>
        <w:rPr>
          <w:rFonts w:hint="default" w:ascii="宋体" w:hAnsi="宋体" w:eastAsia="宋体" w:cs="宋体"/>
          <w:lang w:val="en-US" w:eastAsia="zh-CN"/>
        </w:rPr>
      </w:pPr>
      <w:bookmarkStart w:id="54" w:name="_Toc144070508"/>
      <w:bookmarkStart w:id="55" w:name="_Toc12768932"/>
      <w:bookmarkStart w:id="56" w:name="_Toc527270342"/>
      <w:bookmarkStart w:id="57" w:name="_Toc424885573"/>
      <w:bookmarkStart w:id="58" w:name="_Toc7484"/>
      <w:r>
        <w:rPr>
          <w:rFonts w:hint="default" w:ascii="宋体" w:hAnsi="宋体" w:eastAsia="宋体" w:cs="宋体"/>
          <w:lang w:val="en-US" w:eastAsia="zh-CN"/>
        </w:rPr>
        <w:t>第</w:t>
      </w:r>
      <w:r>
        <w:rPr>
          <w:rFonts w:hint="eastAsia" w:ascii="宋体" w:hAnsi="宋体" w:eastAsia="宋体" w:cs="宋体"/>
          <w:lang w:val="en-US" w:eastAsia="zh-CN"/>
        </w:rPr>
        <w:t>四</w:t>
      </w:r>
      <w:r>
        <w:rPr>
          <w:rFonts w:hint="default" w:ascii="宋体" w:hAnsi="宋体" w:eastAsia="宋体" w:cs="宋体"/>
          <w:lang w:val="en-US" w:eastAsia="zh-CN"/>
        </w:rPr>
        <w:t>节 加强</w:t>
      </w:r>
      <w:bookmarkEnd w:id="54"/>
      <w:bookmarkEnd w:id="55"/>
      <w:bookmarkEnd w:id="56"/>
      <w:bookmarkEnd w:id="57"/>
      <w:r>
        <w:rPr>
          <w:rFonts w:hint="eastAsia" w:ascii="宋体" w:hAnsi="宋体" w:eastAsia="宋体" w:cs="宋体"/>
          <w:lang w:val="en-US" w:eastAsia="zh-CN"/>
        </w:rPr>
        <w:t>统计</w:t>
      </w:r>
      <w:r>
        <w:rPr>
          <w:rFonts w:hint="default" w:ascii="宋体" w:hAnsi="宋体" w:eastAsia="宋体" w:cs="宋体"/>
          <w:lang w:val="en-US" w:eastAsia="zh-CN"/>
        </w:rPr>
        <w:t>监测</w:t>
      </w:r>
      <w:bookmarkEnd w:id="58"/>
    </w:p>
    <w:p w14:paraId="407C5B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健全统一管理、分工负责的统计调查管理体制，建立常规调查、抽样调查、快速调查、统计监测等多元统计调查体系。建立统计数据采集应急体系，实行动态统计监测，提高统计快速反应能力。搭建统计分析交流平台，完善统计分析和决策咨询机制。加快建立完善各级人力资源和社会保障统计数据库，尽快实现统计数据采集、汇总和分析自动化。</w:t>
      </w:r>
    </w:p>
    <w:p w14:paraId="7F2091F1">
      <w:pPr>
        <w:pStyle w:val="7"/>
        <w:bidi w:val="0"/>
        <w:ind w:left="0" w:leftChars="0" w:firstLine="0" w:firstLineChars="0"/>
        <w:jc w:val="center"/>
        <w:rPr>
          <w:rFonts w:hint="default" w:ascii="宋体" w:hAnsi="宋体" w:eastAsia="宋体" w:cs="宋体"/>
          <w:lang w:val="en-US" w:eastAsia="zh-CN"/>
        </w:rPr>
      </w:pPr>
      <w:bookmarkStart w:id="59" w:name="_Toc424885578"/>
      <w:bookmarkStart w:id="60" w:name="_Toc1458594041"/>
      <w:bookmarkStart w:id="61" w:name="_Toc678950547"/>
      <w:bookmarkStart w:id="62" w:name="_Toc341456304"/>
      <w:bookmarkStart w:id="63" w:name="_Toc21478"/>
      <w:r>
        <w:rPr>
          <w:rFonts w:hint="default" w:ascii="宋体" w:hAnsi="宋体" w:eastAsia="宋体" w:cs="宋体"/>
          <w:lang w:val="en-US" w:eastAsia="zh-CN"/>
        </w:rPr>
        <w:t>第</w:t>
      </w:r>
      <w:r>
        <w:rPr>
          <w:rFonts w:hint="eastAsia" w:ascii="宋体" w:hAnsi="宋体" w:eastAsia="宋体" w:cs="宋体"/>
          <w:lang w:val="en-US" w:eastAsia="zh-CN"/>
        </w:rPr>
        <w:t>五</w:t>
      </w:r>
      <w:r>
        <w:rPr>
          <w:rFonts w:hint="default" w:ascii="宋体" w:hAnsi="宋体" w:eastAsia="宋体" w:cs="宋体"/>
          <w:lang w:val="en-US" w:eastAsia="zh-CN"/>
        </w:rPr>
        <w:t>节  强化规划实施</w:t>
      </w:r>
      <w:bookmarkEnd w:id="59"/>
      <w:bookmarkEnd w:id="60"/>
      <w:bookmarkEnd w:id="61"/>
      <w:bookmarkEnd w:id="62"/>
      <w:bookmarkEnd w:id="63"/>
    </w:p>
    <w:p w14:paraId="4A25B7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加强规划实施的统筹协调、宏观指导和宣传动员，制定规划目标任务分解落实方案和重大项目实施管理办法，完善规划实施情况监测、评估和绩效考核机制。继续把规划重点指标的完成情况纳入政府综合考核体系，作为考核各级政府实践科学发展观和解决民生问题的重要依据。各县（市、区）人力资源社会保障部门依据本规划，结合实际，制定实施本地区人力资源和社会保障事业发展规划，形成全市人力资源和社会保障规划体系。</w:t>
      </w:r>
    </w:p>
    <w:p w14:paraId="491F30ED">
      <w:pPr>
        <w:pStyle w:val="12"/>
        <w:rPr>
          <w:rFonts w:hint="eastAsia"/>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nTimes">
    <w:altName w:val="Times New Roman"/>
    <w:panose1 w:val="00000000000000000000"/>
    <w:charset w:val="00"/>
    <w:family w:val="auto"/>
    <w:pitch w:val="default"/>
    <w:sig w:usb0="00000000" w:usb1="0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DD7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A12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483D0">
                          <w:pPr>
                            <w:pStyle w:val="1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D483D0">
                    <w:pPr>
                      <w:pStyle w:val="1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3CED4"/>
    <w:multiLevelType w:val="singleLevel"/>
    <w:tmpl w:val="B563CED4"/>
    <w:lvl w:ilvl="0" w:tentative="0">
      <w:start w:val="1"/>
      <w:numFmt w:val="chineseCounting"/>
      <w:suff w:val="nothing"/>
      <w:lvlText w:val="%1、"/>
      <w:lvlJc w:val="left"/>
      <w:rPr>
        <w:rFonts w:hint="eastAsia"/>
      </w:rPr>
    </w:lvl>
  </w:abstractNum>
  <w:abstractNum w:abstractNumId="1">
    <w:nsid w:val="C2C03D3A"/>
    <w:multiLevelType w:val="singleLevel"/>
    <w:tmpl w:val="C2C03D3A"/>
    <w:lvl w:ilvl="0" w:tentative="0">
      <w:start w:val="1"/>
      <w:numFmt w:val="chineseCounting"/>
      <w:suff w:val="nothing"/>
      <w:lvlText w:val="%1、"/>
      <w:lvlJc w:val="left"/>
      <w:rPr>
        <w:rFonts w:hint="eastAsia"/>
      </w:rPr>
    </w:lvl>
  </w:abstractNum>
  <w:abstractNum w:abstractNumId="2">
    <w:nsid w:val="D15D69E9"/>
    <w:multiLevelType w:val="singleLevel"/>
    <w:tmpl w:val="D15D69E9"/>
    <w:lvl w:ilvl="0" w:tentative="0">
      <w:start w:val="2"/>
      <w:numFmt w:val="chineseCounting"/>
      <w:suff w:val="nothing"/>
      <w:lvlText w:val="%1、"/>
      <w:lvlJc w:val="left"/>
      <w:rPr>
        <w:rFonts w:hint="eastAsia"/>
      </w:rPr>
    </w:lvl>
  </w:abstractNum>
  <w:abstractNum w:abstractNumId="3">
    <w:nsid w:val="D2BEE6DB"/>
    <w:multiLevelType w:val="singleLevel"/>
    <w:tmpl w:val="D2BEE6DB"/>
    <w:lvl w:ilvl="0" w:tentative="0">
      <w:start w:val="1"/>
      <w:numFmt w:val="chineseCounting"/>
      <w:suff w:val="space"/>
      <w:lvlText w:val="第%1节"/>
      <w:lvlJc w:val="left"/>
      <w:rPr>
        <w:rFonts w:hint="eastAsia"/>
      </w:rPr>
    </w:lvl>
  </w:abstractNum>
  <w:abstractNum w:abstractNumId="4">
    <w:nsid w:val="F824A834"/>
    <w:multiLevelType w:val="singleLevel"/>
    <w:tmpl w:val="F824A834"/>
    <w:lvl w:ilvl="0" w:tentative="0">
      <w:start w:val="2"/>
      <w:numFmt w:val="chineseCounting"/>
      <w:suff w:val="nothing"/>
      <w:lvlText w:val="%1、"/>
      <w:lvlJc w:val="left"/>
      <w:rPr>
        <w:rFonts w:hint="eastAsia"/>
      </w:rPr>
    </w:lvl>
  </w:abstractNum>
  <w:abstractNum w:abstractNumId="5">
    <w:nsid w:val="2DB1A2E5"/>
    <w:multiLevelType w:val="singleLevel"/>
    <w:tmpl w:val="2DB1A2E5"/>
    <w:lvl w:ilvl="0" w:tentative="0">
      <w:start w:val="5"/>
      <w:numFmt w:val="chineseCounting"/>
      <w:suff w:val="space"/>
      <w:lvlText w:val="第%1节"/>
      <w:lvlJc w:val="left"/>
      <w:rPr>
        <w:rFonts w:hint="eastAsia" w:ascii="宋体" w:hAnsi="宋体" w:eastAsia="宋体" w:cs="宋体"/>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BA"/>
    <w:rsid w:val="0000028B"/>
    <w:rsid w:val="00215FBA"/>
    <w:rsid w:val="002B539B"/>
    <w:rsid w:val="003012E7"/>
    <w:rsid w:val="00383F7F"/>
    <w:rsid w:val="003F166F"/>
    <w:rsid w:val="006C564F"/>
    <w:rsid w:val="00A22259"/>
    <w:rsid w:val="00C312D8"/>
    <w:rsid w:val="00CF0BD7"/>
    <w:rsid w:val="00E05BE4"/>
    <w:rsid w:val="016231C4"/>
    <w:rsid w:val="0183731A"/>
    <w:rsid w:val="01C50845"/>
    <w:rsid w:val="01D23396"/>
    <w:rsid w:val="01DC487C"/>
    <w:rsid w:val="02B63B67"/>
    <w:rsid w:val="02BE64F3"/>
    <w:rsid w:val="034953E8"/>
    <w:rsid w:val="034F3F28"/>
    <w:rsid w:val="035B69B5"/>
    <w:rsid w:val="036E3E28"/>
    <w:rsid w:val="039F0668"/>
    <w:rsid w:val="03A92026"/>
    <w:rsid w:val="03B23057"/>
    <w:rsid w:val="04096712"/>
    <w:rsid w:val="042E57D7"/>
    <w:rsid w:val="0436192D"/>
    <w:rsid w:val="0443563D"/>
    <w:rsid w:val="04ED5B95"/>
    <w:rsid w:val="04FE5546"/>
    <w:rsid w:val="051F070D"/>
    <w:rsid w:val="054F7945"/>
    <w:rsid w:val="056355B7"/>
    <w:rsid w:val="0591246D"/>
    <w:rsid w:val="05CD24AB"/>
    <w:rsid w:val="05F65A43"/>
    <w:rsid w:val="062D07CA"/>
    <w:rsid w:val="06367FFD"/>
    <w:rsid w:val="0677571C"/>
    <w:rsid w:val="06A826F9"/>
    <w:rsid w:val="06C030E0"/>
    <w:rsid w:val="06F10C56"/>
    <w:rsid w:val="076E45DE"/>
    <w:rsid w:val="087D4830"/>
    <w:rsid w:val="089B6711"/>
    <w:rsid w:val="08E34126"/>
    <w:rsid w:val="09370A14"/>
    <w:rsid w:val="094901BA"/>
    <w:rsid w:val="09A14B61"/>
    <w:rsid w:val="09A311DA"/>
    <w:rsid w:val="09B80167"/>
    <w:rsid w:val="09DC10C2"/>
    <w:rsid w:val="0AB250DF"/>
    <w:rsid w:val="0ACF20E9"/>
    <w:rsid w:val="0B236B5D"/>
    <w:rsid w:val="0B5815DB"/>
    <w:rsid w:val="0BC459CE"/>
    <w:rsid w:val="0BDA4F70"/>
    <w:rsid w:val="0C031F29"/>
    <w:rsid w:val="0C735693"/>
    <w:rsid w:val="0C8D141E"/>
    <w:rsid w:val="0C9F3A56"/>
    <w:rsid w:val="0D16664F"/>
    <w:rsid w:val="0D2532FB"/>
    <w:rsid w:val="0D3117C6"/>
    <w:rsid w:val="0D410622"/>
    <w:rsid w:val="0D4A7ECD"/>
    <w:rsid w:val="0D8D0766"/>
    <w:rsid w:val="0D906B11"/>
    <w:rsid w:val="0DD76F70"/>
    <w:rsid w:val="0DF6111E"/>
    <w:rsid w:val="0E2E4DD2"/>
    <w:rsid w:val="0E5532AA"/>
    <w:rsid w:val="0E5F5E13"/>
    <w:rsid w:val="0E9B1C19"/>
    <w:rsid w:val="0F3E1BDD"/>
    <w:rsid w:val="0FC40269"/>
    <w:rsid w:val="0FE74ED2"/>
    <w:rsid w:val="104853E6"/>
    <w:rsid w:val="10CC35A9"/>
    <w:rsid w:val="10DA3DCA"/>
    <w:rsid w:val="11A668EF"/>
    <w:rsid w:val="11DA6375"/>
    <w:rsid w:val="11E3023D"/>
    <w:rsid w:val="122242B6"/>
    <w:rsid w:val="12470CDE"/>
    <w:rsid w:val="12702FA1"/>
    <w:rsid w:val="127C1CBD"/>
    <w:rsid w:val="129031D3"/>
    <w:rsid w:val="12971840"/>
    <w:rsid w:val="12F97D2F"/>
    <w:rsid w:val="13277CC7"/>
    <w:rsid w:val="134E5417"/>
    <w:rsid w:val="13947247"/>
    <w:rsid w:val="13B35FF0"/>
    <w:rsid w:val="13B83288"/>
    <w:rsid w:val="13D2243F"/>
    <w:rsid w:val="140A5F27"/>
    <w:rsid w:val="143718D1"/>
    <w:rsid w:val="14A53C82"/>
    <w:rsid w:val="14B54458"/>
    <w:rsid w:val="15255E3E"/>
    <w:rsid w:val="15750A5B"/>
    <w:rsid w:val="15B71E6A"/>
    <w:rsid w:val="15F3762B"/>
    <w:rsid w:val="15F82582"/>
    <w:rsid w:val="160A25BF"/>
    <w:rsid w:val="16660F06"/>
    <w:rsid w:val="16670565"/>
    <w:rsid w:val="166E383C"/>
    <w:rsid w:val="16F5089C"/>
    <w:rsid w:val="176D26F1"/>
    <w:rsid w:val="17914245"/>
    <w:rsid w:val="17915353"/>
    <w:rsid w:val="17A50763"/>
    <w:rsid w:val="17DD7D45"/>
    <w:rsid w:val="182C705F"/>
    <w:rsid w:val="182D1BE5"/>
    <w:rsid w:val="18545362"/>
    <w:rsid w:val="18800D8C"/>
    <w:rsid w:val="1903106A"/>
    <w:rsid w:val="191C0B22"/>
    <w:rsid w:val="19320290"/>
    <w:rsid w:val="193974B7"/>
    <w:rsid w:val="19B30EFD"/>
    <w:rsid w:val="19BF4569"/>
    <w:rsid w:val="19F52208"/>
    <w:rsid w:val="1A087593"/>
    <w:rsid w:val="1A1516C3"/>
    <w:rsid w:val="1A1E2842"/>
    <w:rsid w:val="1A4B4CC5"/>
    <w:rsid w:val="1A4F2CA8"/>
    <w:rsid w:val="1A5A7689"/>
    <w:rsid w:val="1ABE3875"/>
    <w:rsid w:val="1AD87253"/>
    <w:rsid w:val="1B2A682F"/>
    <w:rsid w:val="1B2F2DD8"/>
    <w:rsid w:val="1B6E4242"/>
    <w:rsid w:val="1B9A2826"/>
    <w:rsid w:val="1C0228BF"/>
    <w:rsid w:val="1C446277"/>
    <w:rsid w:val="1C7C714C"/>
    <w:rsid w:val="1C9A421D"/>
    <w:rsid w:val="1CBB6462"/>
    <w:rsid w:val="1CD47DBE"/>
    <w:rsid w:val="1D2B29C1"/>
    <w:rsid w:val="1D317FA5"/>
    <w:rsid w:val="1D7B0312"/>
    <w:rsid w:val="1D936604"/>
    <w:rsid w:val="1DAF35A9"/>
    <w:rsid w:val="1DDE62A0"/>
    <w:rsid w:val="1DDE6FDA"/>
    <w:rsid w:val="1E045BFD"/>
    <w:rsid w:val="1E3D5995"/>
    <w:rsid w:val="1E503BCE"/>
    <w:rsid w:val="1E5D256B"/>
    <w:rsid w:val="1E6B5A30"/>
    <w:rsid w:val="1E7C1A08"/>
    <w:rsid w:val="1E847BAC"/>
    <w:rsid w:val="1E870930"/>
    <w:rsid w:val="1E9D14FB"/>
    <w:rsid w:val="1F003C81"/>
    <w:rsid w:val="1F282F32"/>
    <w:rsid w:val="1F570988"/>
    <w:rsid w:val="1FA94CF4"/>
    <w:rsid w:val="1FC059D5"/>
    <w:rsid w:val="1FC23016"/>
    <w:rsid w:val="1FC84C0D"/>
    <w:rsid w:val="200271E4"/>
    <w:rsid w:val="20462ACF"/>
    <w:rsid w:val="207A17CA"/>
    <w:rsid w:val="207C6429"/>
    <w:rsid w:val="209910A0"/>
    <w:rsid w:val="21112886"/>
    <w:rsid w:val="21114F87"/>
    <w:rsid w:val="211F35A6"/>
    <w:rsid w:val="21245336"/>
    <w:rsid w:val="21A923AC"/>
    <w:rsid w:val="21C57418"/>
    <w:rsid w:val="221664D0"/>
    <w:rsid w:val="223133ED"/>
    <w:rsid w:val="223C3FED"/>
    <w:rsid w:val="227724AC"/>
    <w:rsid w:val="22D8416A"/>
    <w:rsid w:val="22EF5F36"/>
    <w:rsid w:val="23234CAC"/>
    <w:rsid w:val="235E44A7"/>
    <w:rsid w:val="24130F63"/>
    <w:rsid w:val="24916233"/>
    <w:rsid w:val="24DE17CB"/>
    <w:rsid w:val="25083739"/>
    <w:rsid w:val="25861509"/>
    <w:rsid w:val="260B6021"/>
    <w:rsid w:val="26501583"/>
    <w:rsid w:val="26845D2E"/>
    <w:rsid w:val="26944223"/>
    <w:rsid w:val="26C36207"/>
    <w:rsid w:val="26C93FCA"/>
    <w:rsid w:val="26CB6B66"/>
    <w:rsid w:val="26D95FA6"/>
    <w:rsid w:val="27297973"/>
    <w:rsid w:val="27335623"/>
    <w:rsid w:val="279E0EB2"/>
    <w:rsid w:val="27D34070"/>
    <w:rsid w:val="27E74C62"/>
    <w:rsid w:val="281462BD"/>
    <w:rsid w:val="28170412"/>
    <w:rsid w:val="28674392"/>
    <w:rsid w:val="28941F49"/>
    <w:rsid w:val="289B4EAE"/>
    <w:rsid w:val="28CF4074"/>
    <w:rsid w:val="28E154F0"/>
    <w:rsid w:val="28E57170"/>
    <w:rsid w:val="28E935AA"/>
    <w:rsid w:val="28F2150D"/>
    <w:rsid w:val="29166D14"/>
    <w:rsid w:val="2937731A"/>
    <w:rsid w:val="29491393"/>
    <w:rsid w:val="297A630C"/>
    <w:rsid w:val="298B37F5"/>
    <w:rsid w:val="29F329FC"/>
    <w:rsid w:val="29FB2069"/>
    <w:rsid w:val="2A0F1C02"/>
    <w:rsid w:val="2A48459E"/>
    <w:rsid w:val="2A766190"/>
    <w:rsid w:val="2A785EFE"/>
    <w:rsid w:val="2ACB7FB3"/>
    <w:rsid w:val="2B0B0528"/>
    <w:rsid w:val="2B2F5ECF"/>
    <w:rsid w:val="2C190430"/>
    <w:rsid w:val="2C6A2DBE"/>
    <w:rsid w:val="2CB54B46"/>
    <w:rsid w:val="2CE96D7F"/>
    <w:rsid w:val="2D0E355A"/>
    <w:rsid w:val="2D9552DF"/>
    <w:rsid w:val="2DC76832"/>
    <w:rsid w:val="2DF07F59"/>
    <w:rsid w:val="2E8341DF"/>
    <w:rsid w:val="2E842F35"/>
    <w:rsid w:val="2EB96756"/>
    <w:rsid w:val="2F037746"/>
    <w:rsid w:val="2F0A4385"/>
    <w:rsid w:val="2F0D6E03"/>
    <w:rsid w:val="2F3A4309"/>
    <w:rsid w:val="2F5A7B72"/>
    <w:rsid w:val="2F6C2970"/>
    <w:rsid w:val="2F8E2B17"/>
    <w:rsid w:val="2F9C2CCA"/>
    <w:rsid w:val="3001578C"/>
    <w:rsid w:val="303A3EEA"/>
    <w:rsid w:val="30563594"/>
    <w:rsid w:val="308E79DD"/>
    <w:rsid w:val="30A91AB1"/>
    <w:rsid w:val="30C16DE9"/>
    <w:rsid w:val="30D32CB1"/>
    <w:rsid w:val="30EC7DE9"/>
    <w:rsid w:val="30FD670B"/>
    <w:rsid w:val="31172BFF"/>
    <w:rsid w:val="31976B0B"/>
    <w:rsid w:val="32027ADF"/>
    <w:rsid w:val="32082ABB"/>
    <w:rsid w:val="32687115"/>
    <w:rsid w:val="32A96974"/>
    <w:rsid w:val="32ED027C"/>
    <w:rsid w:val="33472DAB"/>
    <w:rsid w:val="335342C9"/>
    <w:rsid w:val="339E29C0"/>
    <w:rsid w:val="33BF490D"/>
    <w:rsid w:val="33E66EC8"/>
    <w:rsid w:val="33FE7AD1"/>
    <w:rsid w:val="34054021"/>
    <w:rsid w:val="34240414"/>
    <w:rsid w:val="344662B8"/>
    <w:rsid w:val="345274B6"/>
    <w:rsid w:val="3460109A"/>
    <w:rsid w:val="347C20A7"/>
    <w:rsid w:val="349A4386"/>
    <w:rsid w:val="34E02BE8"/>
    <w:rsid w:val="34F21C9E"/>
    <w:rsid w:val="350F6D76"/>
    <w:rsid w:val="352B26C9"/>
    <w:rsid w:val="353C403D"/>
    <w:rsid w:val="35686C4F"/>
    <w:rsid w:val="359B3D4A"/>
    <w:rsid w:val="35BB411D"/>
    <w:rsid w:val="35ED31ED"/>
    <w:rsid w:val="361554C5"/>
    <w:rsid w:val="363F700B"/>
    <w:rsid w:val="36455C3C"/>
    <w:rsid w:val="36887668"/>
    <w:rsid w:val="36C35BD1"/>
    <w:rsid w:val="36D60E92"/>
    <w:rsid w:val="36F06480"/>
    <w:rsid w:val="36F4671C"/>
    <w:rsid w:val="37402D74"/>
    <w:rsid w:val="37596C55"/>
    <w:rsid w:val="377B5A4D"/>
    <w:rsid w:val="37DA6915"/>
    <w:rsid w:val="37F15088"/>
    <w:rsid w:val="38011B8B"/>
    <w:rsid w:val="380308B4"/>
    <w:rsid w:val="38064A24"/>
    <w:rsid w:val="380D5C9B"/>
    <w:rsid w:val="38251CFE"/>
    <w:rsid w:val="38355750"/>
    <w:rsid w:val="384B08D5"/>
    <w:rsid w:val="38E80B4C"/>
    <w:rsid w:val="39195266"/>
    <w:rsid w:val="39BA713D"/>
    <w:rsid w:val="39C0635C"/>
    <w:rsid w:val="39DF3BE2"/>
    <w:rsid w:val="39E44FFE"/>
    <w:rsid w:val="3A144DD0"/>
    <w:rsid w:val="3A16304E"/>
    <w:rsid w:val="3A194A0F"/>
    <w:rsid w:val="3A4B3AB9"/>
    <w:rsid w:val="3A5A62BB"/>
    <w:rsid w:val="3A6127DA"/>
    <w:rsid w:val="3A66663A"/>
    <w:rsid w:val="3A730B1C"/>
    <w:rsid w:val="3AA5118B"/>
    <w:rsid w:val="3AD93C9A"/>
    <w:rsid w:val="3B206EBA"/>
    <w:rsid w:val="3B80196B"/>
    <w:rsid w:val="3BAE297D"/>
    <w:rsid w:val="3BCB31EB"/>
    <w:rsid w:val="3BF55889"/>
    <w:rsid w:val="3C4E5A6D"/>
    <w:rsid w:val="3C60028F"/>
    <w:rsid w:val="3C6736F2"/>
    <w:rsid w:val="3C73570E"/>
    <w:rsid w:val="3C8F0A8E"/>
    <w:rsid w:val="3C9E7B75"/>
    <w:rsid w:val="3CC96637"/>
    <w:rsid w:val="3CD602CF"/>
    <w:rsid w:val="3CEF4B21"/>
    <w:rsid w:val="3D5F1A9E"/>
    <w:rsid w:val="3D7C3453"/>
    <w:rsid w:val="3D9F01BF"/>
    <w:rsid w:val="3DFE3BDB"/>
    <w:rsid w:val="3E0036D1"/>
    <w:rsid w:val="3E3A6118"/>
    <w:rsid w:val="3E7E0E2F"/>
    <w:rsid w:val="3E903A3C"/>
    <w:rsid w:val="3E9321EC"/>
    <w:rsid w:val="3ED179FC"/>
    <w:rsid w:val="3F0129CA"/>
    <w:rsid w:val="3F2D04FB"/>
    <w:rsid w:val="3F4D4DE7"/>
    <w:rsid w:val="3F56725A"/>
    <w:rsid w:val="3F661312"/>
    <w:rsid w:val="3FA374AB"/>
    <w:rsid w:val="3FA64555"/>
    <w:rsid w:val="3FD57F6F"/>
    <w:rsid w:val="4006395E"/>
    <w:rsid w:val="406D45CD"/>
    <w:rsid w:val="40A92CFB"/>
    <w:rsid w:val="40BA2DC5"/>
    <w:rsid w:val="41463875"/>
    <w:rsid w:val="41724D22"/>
    <w:rsid w:val="41885293"/>
    <w:rsid w:val="419422FD"/>
    <w:rsid w:val="41C353AA"/>
    <w:rsid w:val="41CD7B9C"/>
    <w:rsid w:val="41E52384"/>
    <w:rsid w:val="42514FE4"/>
    <w:rsid w:val="4294772F"/>
    <w:rsid w:val="42C813B7"/>
    <w:rsid w:val="42DC408E"/>
    <w:rsid w:val="42E73930"/>
    <w:rsid w:val="42F55A6B"/>
    <w:rsid w:val="430F0E6D"/>
    <w:rsid w:val="431D5670"/>
    <w:rsid w:val="4392267E"/>
    <w:rsid w:val="43E9020A"/>
    <w:rsid w:val="443027D2"/>
    <w:rsid w:val="44675408"/>
    <w:rsid w:val="448B3125"/>
    <w:rsid w:val="44C0768A"/>
    <w:rsid w:val="44C7116F"/>
    <w:rsid w:val="44D9077F"/>
    <w:rsid w:val="44E14031"/>
    <w:rsid w:val="456A37E7"/>
    <w:rsid w:val="45753C19"/>
    <w:rsid w:val="45AC14C1"/>
    <w:rsid w:val="45BD10D1"/>
    <w:rsid w:val="465E603A"/>
    <w:rsid w:val="46C747CA"/>
    <w:rsid w:val="46CB0FF0"/>
    <w:rsid w:val="46E146EB"/>
    <w:rsid w:val="47106DCA"/>
    <w:rsid w:val="47B15D05"/>
    <w:rsid w:val="47C103A7"/>
    <w:rsid w:val="47C2253A"/>
    <w:rsid w:val="47D46475"/>
    <w:rsid w:val="47F8073C"/>
    <w:rsid w:val="484A5C3B"/>
    <w:rsid w:val="484E4F97"/>
    <w:rsid w:val="487D00CC"/>
    <w:rsid w:val="48AD177A"/>
    <w:rsid w:val="48AE14D8"/>
    <w:rsid w:val="48B659B0"/>
    <w:rsid w:val="48CA5F84"/>
    <w:rsid w:val="48D55DA9"/>
    <w:rsid w:val="48FC6E35"/>
    <w:rsid w:val="49164819"/>
    <w:rsid w:val="493068A4"/>
    <w:rsid w:val="497E5037"/>
    <w:rsid w:val="4A06788C"/>
    <w:rsid w:val="4A4209F1"/>
    <w:rsid w:val="4AA26CCF"/>
    <w:rsid w:val="4B3C5C3B"/>
    <w:rsid w:val="4B43090E"/>
    <w:rsid w:val="4B7E56D7"/>
    <w:rsid w:val="4BC407CB"/>
    <w:rsid w:val="4C073FC4"/>
    <w:rsid w:val="4C5726F0"/>
    <w:rsid w:val="4C8F7A4C"/>
    <w:rsid w:val="4CB83D2A"/>
    <w:rsid w:val="4CFC52C8"/>
    <w:rsid w:val="4D1F119D"/>
    <w:rsid w:val="4D6C46A2"/>
    <w:rsid w:val="4D7B5470"/>
    <w:rsid w:val="4DB10129"/>
    <w:rsid w:val="4DF633B9"/>
    <w:rsid w:val="4E1E768F"/>
    <w:rsid w:val="4E2A0FCE"/>
    <w:rsid w:val="4E2A4606"/>
    <w:rsid w:val="4E41725C"/>
    <w:rsid w:val="4E6E5350"/>
    <w:rsid w:val="4E760823"/>
    <w:rsid w:val="4F2800F9"/>
    <w:rsid w:val="4F530D5B"/>
    <w:rsid w:val="4F8E2CC9"/>
    <w:rsid w:val="4F9B0BEC"/>
    <w:rsid w:val="4F9E19CD"/>
    <w:rsid w:val="4FB31EBE"/>
    <w:rsid w:val="4FBA1F34"/>
    <w:rsid w:val="4FC5388E"/>
    <w:rsid w:val="500967DC"/>
    <w:rsid w:val="500E624A"/>
    <w:rsid w:val="504C666D"/>
    <w:rsid w:val="50821126"/>
    <w:rsid w:val="509F5F97"/>
    <w:rsid w:val="50B24F9B"/>
    <w:rsid w:val="50D95002"/>
    <w:rsid w:val="50E671ED"/>
    <w:rsid w:val="50F91686"/>
    <w:rsid w:val="5128605E"/>
    <w:rsid w:val="515A50A3"/>
    <w:rsid w:val="515E0D8C"/>
    <w:rsid w:val="51605DD9"/>
    <w:rsid w:val="51B511A8"/>
    <w:rsid w:val="51DC55A8"/>
    <w:rsid w:val="52184A97"/>
    <w:rsid w:val="525A1C60"/>
    <w:rsid w:val="52A76810"/>
    <w:rsid w:val="52CB5B2A"/>
    <w:rsid w:val="53027B79"/>
    <w:rsid w:val="532E551B"/>
    <w:rsid w:val="534D040F"/>
    <w:rsid w:val="53B705E8"/>
    <w:rsid w:val="53B7404D"/>
    <w:rsid w:val="53C32B2E"/>
    <w:rsid w:val="53C917C6"/>
    <w:rsid w:val="54387D73"/>
    <w:rsid w:val="54436F6C"/>
    <w:rsid w:val="547516FD"/>
    <w:rsid w:val="549815A6"/>
    <w:rsid w:val="549C62B7"/>
    <w:rsid w:val="55504466"/>
    <w:rsid w:val="558611B0"/>
    <w:rsid w:val="55A9465C"/>
    <w:rsid w:val="55FB0B6A"/>
    <w:rsid w:val="56234D84"/>
    <w:rsid w:val="56323C23"/>
    <w:rsid w:val="565E61B4"/>
    <w:rsid w:val="56872CEE"/>
    <w:rsid w:val="56C56AB7"/>
    <w:rsid w:val="570A7ECD"/>
    <w:rsid w:val="57A453C2"/>
    <w:rsid w:val="57AE5056"/>
    <w:rsid w:val="5867799F"/>
    <w:rsid w:val="59237D39"/>
    <w:rsid w:val="59B616EF"/>
    <w:rsid w:val="59B622B5"/>
    <w:rsid w:val="59F463FC"/>
    <w:rsid w:val="5A103103"/>
    <w:rsid w:val="5A146FD0"/>
    <w:rsid w:val="5A2924DF"/>
    <w:rsid w:val="5A300C66"/>
    <w:rsid w:val="5A6C7B65"/>
    <w:rsid w:val="5A7C0780"/>
    <w:rsid w:val="5AB30008"/>
    <w:rsid w:val="5AEC069E"/>
    <w:rsid w:val="5B221003"/>
    <w:rsid w:val="5B415B58"/>
    <w:rsid w:val="5B5839E9"/>
    <w:rsid w:val="5B606A80"/>
    <w:rsid w:val="5B9E69F8"/>
    <w:rsid w:val="5BB40CCD"/>
    <w:rsid w:val="5BD20945"/>
    <w:rsid w:val="5BDB2053"/>
    <w:rsid w:val="5BE8427D"/>
    <w:rsid w:val="5C3862D5"/>
    <w:rsid w:val="5C6340B5"/>
    <w:rsid w:val="5C8B14D0"/>
    <w:rsid w:val="5D0E66AF"/>
    <w:rsid w:val="5D4A0E7E"/>
    <w:rsid w:val="5DB0597A"/>
    <w:rsid w:val="5E252B77"/>
    <w:rsid w:val="5E7620DE"/>
    <w:rsid w:val="5E84569F"/>
    <w:rsid w:val="5E88454F"/>
    <w:rsid w:val="5F237CF7"/>
    <w:rsid w:val="5F426B77"/>
    <w:rsid w:val="5F445E84"/>
    <w:rsid w:val="5F7E1482"/>
    <w:rsid w:val="5FB67E9C"/>
    <w:rsid w:val="608E1481"/>
    <w:rsid w:val="60AE5611"/>
    <w:rsid w:val="60EF3B6E"/>
    <w:rsid w:val="612238D0"/>
    <w:rsid w:val="6124111E"/>
    <w:rsid w:val="61603B8E"/>
    <w:rsid w:val="61767706"/>
    <w:rsid w:val="61773774"/>
    <w:rsid w:val="6185291B"/>
    <w:rsid w:val="61F54CEE"/>
    <w:rsid w:val="62232F6A"/>
    <w:rsid w:val="62A909C7"/>
    <w:rsid w:val="62B40B7F"/>
    <w:rsid w:val="62E21C93"/>
    <w:rsid w:val="63002543"/>
    <w:rsid w:val="639D11B0"/>
    <w:rsid w:val="63F42A87"/>
    <w:rsid w:val="64007F99"/>
    <w:rsid w:val="64016A4D"/>
    <w:rsid w:val="642D62B3"/>
    <w:rsid w:val="644970F0"/>
    <w:rsid w:val="64845E52"/>
    <w:rsid w:val="648C3335"/>
    <w:rsid w:val="648E6051"/>
    <w:rsid w:val="64EC5F76"/>
    <w:rsid w:val="64FC343A"/>
    <w:rsid w:val="65614E80"/>
    <w:rsid w:val="656B7724"/>
    <w:rsid w:val="65790D79"/>
    <w:rsid w:val="65A63A65"/>
    <w:rsid w:val="65B56AD4"/>
    <w:rsid w:val="66095639"/>
    <w:rsid w:val="6611638B"/>
    <w:rsid w:val="661D7623"/>
    <w:rsid w:val="66F9317D"/>
    <w:rsid w:val="670D0C5A"/>
    <w:rsid w:val="670E2DF5"/>
    <w:rsid w:val="67392D72"/>
    <w:rsid w:val="6763581C"/>
    <w:rsid w:val="67881057"/>
    <w:rsid w:val="67AF0D24"/>
    <w:rsid w:val="67CF5F9D"/>
    <w:rsid w:val="67D72A09"/>
    <w:rsid w:val="6812797F"/>
    <w:rsid w:val="683853C6"/>
    <w:rsid w:val="686960AC"/>
    <w:rsid w:val="68E71C17"/>
    <w:rsid w:val="69082A36"/>
    <w:rsid w:val="6909428A"/>
    <w:rsid w:val="69710344"/>
    <w:rsid w:val="69DC6719"/>
    <w:rsid w:val="6A2D746C"/>
    <w:rsid w:val="6A54697B"/>
    <w:rsid w:val="6A865D3E"/>
    <w:rsid w:val="6A9E639A"/>
    <w:rsid w:val="6B0B0396"/>
    <w:rsid w:val="6B157348"/>
    <w:rsid w:val="6B342419"/>
    <w:rsid w:val="6B880E5E"/>
    <w:rsid w:val="6B92766A"/>
    <w:rsid w:val="6B9E7CE6"/>
    <w:rsid w:val="6BAE7BC5"/>
    <w:rsid w:val="6BCA7395"/>
    <w:rsid w:val="6BDB1AF3"/>
    <w:rsid w:val="6BE736A0"/>
    <w:rsid w:val="6C112ECB"/>
    <w:rsid w:val="6C304FB9"/>
    <w:rsid w:val="6CCB7471"/>
    <w:rsid w:val="6CF31589"/>
    <w:rsid w:val="6D214B6C"/>
    <w:rsid w:val="6DAB06A4"/>
    <w:rsid w:val="6DB37D64"/>
    <w:rsid w:val="6E146D4E"/>
    <w:rsid w:val="6E457A49"/>
    <w:rsid w:val="6E7E24DB"/>
    <w:rsid w:val="6E844690"/>
    <w:rsid w:val="6EA83782"/>
    <w:rsid w:val="6EC27189"/>
    <w:rsid w:val="6ED42540"/>
    <w:rsid w:val="6F442170"/>
    <w:rsid w:val="6F645314"/>
    <w:rsid w:val="6F744A9D"/>
    <w:rsid w:val="702E4025"/>
    <w:rsid w:val="70314D73"/>
    <w:rsid w:val="70443DF5"/>
    <w:rsid w:val="70B42A12"/>
    <w:rsid w:val="70CC1A65"/>
    <w:rsid w:val="70CE3723"/>
    <w:rsid w:val="70E349B8"/>
    <w:rsid w:val="70FC32B5"/>
    <w:rsid w:val="71295D1E"/>
    <w:rsid w:val="713F1B82"/>
    <w:rsid w:val="716E1555"/>
    <w:rsid w:val="717570CE"/>
    <w:rsid w:val="71F8318A"/>
    <w:rsid w:val="72026E1D"/>
    <w:rsid w:val="72270517"/>
    <w:rsid w:val="72436725"/>
    <w:rsid w:val="724B0221"/>
    <w:rsid w:val="7265320E"/>
    <w:rsid w:val="73846236"/>
    <w:rsid w:val="73A06DC7"/>
    <w:rsid w:val="73E25CB8"/>
    <w:rsid w:val="7447504D"/>
    <w:rsid w:val="74FD3215"/>
    <w:rsid w:val="75035447"/>
    <w:rsid w:val="75A222F2"/>
    <w:rsid w:val="75E919E6"/>
    <w:rsid w:val="767A312C"/>
    <w:rsid w:val="767F76B0"/>
    <w:rsid w:val="768A0A28"/>
    <w:rsid w:val="769160B5"/>
    <w:rsid w:val="76B2616F"/>
    <w:rsid w:val="76D0130A"/>
    <w:rsid w:val="76F774EC"/>
    <w:rsid w:val="775E3E82"/>
    <w:rsid w:val="777F3D6A"/>
    <w:rsid w:val="77CD1587"/>
    <w:rsid w:val="77D4713F"/>
    <w:rsid w:val="77DD2A38"/>
    <w:rsid w:val="7803621C"/>
    <w:rsid w:val="787C2AD3"/>
    <w:rsid w:val="78F76452"/>
    <w:rsid w:val="79257B6C"/>
    <w:rsid w:val="79737A7E"/>
    <w:rsid w:val="797827F6"/>
    <w:rsid w:val="7A22459F"/>
    <w:rsid w:val="7A4117B3"/>
    <w:rsid w:val="7A53337A"/>
    <w:rsid w:val="7A740E50"/>
    <w:rsid w:val="7AC4786E"/>
    <w:rsid w:val="7AD542F4"/>
    <w:rsid w:val="7AE21602"/>
    <w:rsid w:val="7B100FAD"/>
    <w:rsid w:val="7B7553CB"/>
    <w:rsid w:val="7B8805A9"/>
    <w:rsid w:val="7C021C15"/>
    <w:rsid w:val="7C79050B"/>
    <w:rsid w:val="7C877E84"/>
    <w:rsid w:val="7D191147"/>
    <w:rsid w:val="7D3C455C"/>
    <w:rsid w:val="7D495146"/>
    <w:rsid w:val="7D58059A"/>
    <w:rsid w:val="7D6B0BA5"/>
    <w:rsid w:val="7DDC26BB"/>
    <w:rsid w:val="7E370832"/>
    <w:rsid w:val="7E984F3D"/>
    <w:rsid w:val="7ED00573"/>
    <w:rsid w:val="7F2517B4"/>
    <w:rsid w:val="7F2F31AB"/>
    <w:rsid w:val="7F724DAD"/>
    <w:rsid w:val="7FFF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hAnsi="仿宋_GB2312" w:eastAsia="仿宋_GB2312" w:cs="Times New Roman"/>
      <w:kern w:val="2"/>
      <w:sz w:val="32"/>
      <w:szCs w:val="22"/>
      <w:lang w:val="en-US" w:eastAsia="zh-CN" w:bidi="ar-SA"/>
    </w:rPr>
  </w:style>
  <w:style w:type="paragraph" w:styleId="6">
    <w:name w:val="heading 1"/>
    <w:basedOn w:val="1"/>
    <w:next w:val="1"/>
    <w:link w:val="3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ind w:firstLine="420" w:firstLineChars="100"/>
    </w:pPr>
  </w:style>
  <w:style w:type="paragraph" w:styleId="3">
    <w:name w:val="Body Text"/>
    <w:basedOn w:val="1"/>
    <w:next w:val="1"/>
    <w:unhideWhenUsed/>
    <w:qFormat/>
    <w:uiPriority w:val="99"/>
    <w:pPr>
      <w:spacing w:after="120"/>
    </w:p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widowControl w:val="0"/>
      <w:spacing w:after="120" w:afterLines="0" w:afterAutospacing="0" w:line="240" w:lineRule="atLeast"/>
      <w:ind w:firstLine="420" w:firstLineChars="200"/>
      <w:jc w:val="both"/>
    </w:pPr>
    <w:rPr>
      <w:rFonts w:ascii="Times New Roman" w:hAnsi="Times New Roman" w:eastAsia="方正仿宋_GBK" w:cs="Times New Roman"/>
      <w:spacing w:val="6"/>
      <w:kern w:val="21"/>
      <w:sz w:val="32"/>
      <w:lang w:val="en-US" w:eastAsia="zh-CN"/>
    </w:rPr>
  </w:style>
  <w:style w:type="paragraph" w:styleId="9">
    <w:name w:val="Normal Indent"/>
    <w:basedOn w:val="1"/>
    <w:qFormat/>
    <w:uiPriority w:val="0"/>
    <w:pPr>
      <w:widowControl w:val="0"/>
      <w:ind w:firstLine="420"/>
    </w:pPr>
    <w:rPr>
      <w:rFonts w:ascii="Calibri" w:hAnsi="Calibri" w:eastAsia="宋体" w:cs="Times New Roman"/>
      <w:szCs w:val="20"/>
      <w:lang w:val="en-US" w:eastAsia="zh-CN" w:bidi="ar-SA"/>
    </w:rPr>
  </w:style>
  <w:style w:type="paragraph" w:styleId="10">
    <w:name w:val="index 5"/>
    <w:basedOn w:val="1"/>
    <w:next w:val="1"/>
    <w:qFormat/>
    <w:uiPriority w:val="0"/>
    <w:pPr>
      <w:ind w:left="1680"/>
    </w:pPr>
  </w:style>
  <w:style w:type="paragraph" w:styleId="11">
    <w:name w:val="toc 3"/>
    <w:basedOn w:val="1"/>
    <w:next w:val="1"/>
    <w:qFormat/>
    <w:uiPriority w:val="0"/>
    <w:pPr>
      <w:ind w:left="840" w:leftChars="400"/>
    </w:pPr>
  </w:style>
  <w:style w:type="paragraph" w:styleId="12">
    <w:name w:val="footer"/>
    <w:basedOn w:val="1"/>
    <w:next w:val="10"/>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next w:val="13"/>
    <w:unhideWhenUsed/>
    <w:qFormat/>
    <w:uiPriority w:val="99"/>
    <w:pPr>
      <w:snapToGrid w:val="0"/>
      <w:jc w:val="left"/>
    </w:p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val="0"/>
      <w:spacing w:beforeAutospacing="1" w:afterAutospacing="1"/>
    </w:pPr>
    <w:rPr>
      <w:rFonts w:ascii="Calibri" w:hAnsi="Calibri" w:eastAsia="宋体" w:cs="Times New Roman"/>
      <w:sz w:val="24"/>
      <w:szCs w:val="24"/>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000000"/>
      <w:u w:val="none"/>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paragraph" w:customStyle="1" w:styleId="24">
    <w:name w:val="Body Text First Indent 21"/>
    <w:basedOn w:val="25"/>
    <w:qFormat/>
    <w:uiPriority w:val="0"/>
    <w:pPr>
      <w:ind w:firstLine="420" w:firstLineChars="200"/>
    </w:pPr>
  </w:style>
  <w:style w:type="paragraph" w:customStyle="1" w:styleId="25">
    <w:name w:val="Body Text Indent1"/>
    <w:basedOn w:val="1"/>
    <w:qFormat/>
    <w:uiPriority w:val="0"/>
    <w:pPr>
      <w:spacing w:after="120" w:afterLines="0"/>
      <w:ind w:left="420" w:leftChars="200"/>
    </w:pPr>
    <w:rPr>
      <w:rFonts w:ascii="Times New Roman" w:hAnsi="Times New Roman" w:eastAsia="仿宋_GB2312" w:cs="Times New Roman"/>
      <w:sz w:val="32"/>
      <w:szCs w:val="24"/>
    </w:rPr>
  </w:style>
  <w:style w:type="paragraph" w:styleId="26">
    <w:name w:val="List Paragraph"/>
    <w:basedOn w:val="1"/>
    <w:qFormat/>
    <w:uiPriority w:val="99"/>
    <w:pPr>
      <w:ind w:firstLine="420"/>
    </w:p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character" w:customStyle="1" w:styleId="31">
    <w:name w:val="标题 1 Char"/>
    <w:link w:val="6"/>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20234</Words>
  <Characters>20599</Characters>
  <Lines>6</Lines>
  <Paragraphs>1</Paragraphs>
  <TotalTime>11</TotalTime>
  <ScaleCrop>false</ScaleCrop>
  <LinksUpToDate>false</LinksUpToDate>
  <CharactersWithSpaces>20786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2021-01-22T07:51:00Z</dcterms:created>
  <dc:creator>初夏薄荷</dc:creator>
  <cp:lastModifiedBy>EclipS</cp:lastModifiedBy>
  <dcterms:modified xsi:type="dcterms:W3CDTF">2025-10-23T01:50:43Z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355D4C8B26AC47928ED859B20DBA9E13</vt:lpwstr>
  </property>
  <property fmtid="{D5CDD505-2E9C-101B-9397-08002B2CF9AE}" pid="4" name="KSOTemplateDocerSaveRecord">
    <vt:lpwstr>eyJoZGlkIjoiMzhiYzlmNjU2NzIxYTYyYTZkYzgzMTEwNDljMTc3YjMiLCJ1c2VySWQiOiI0Mjc0NDA2MTYifQ==</vt:lpwstr>
  </property>
</Properties>
</file>