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9AA6A">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21EF7FA0">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2F7FB333">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2B810C4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蔡某</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5B30F806">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晋城市市场监督管理局</w:t>
      </w:r>
    </w:p>
    <w:p w14:paraId="3644D6A2">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法定代表人：朱慧杰</w:t>
      </w:r>
      <w:r>
        <w:rPr>
          <w:rFonts w:hint="eastAsia" w:ascii="仿宋_GB2312" w:hAnsi="仿宋_GB2312" w:eastAsia="仿宋_GB2312" w:cs="仿宋_GB2312"/>
          <w:sz w:val="32"/>
          <w:szCs w:val="32"/>
          <w:lang w:val="en-US" w:eastAsia="zh-CN"/>
        </w:rPr>
        <w:t xml:space="preserve">        职务：局长</w:t>
      </w:r>
    </w:p>
    <w:p w14:paraId="2D2AB03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以被申请人未在法定期限内履行职责为由</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日向本机关提出行政复议申请。经审查，</w:t>
      </w:r>
      <w:r>
        <w:rPr>
          <w:rFonts w:hint="eastAsia" w:ascii="仿宋_GB2312" w:hAnsi="仿宋_GB2312" w:eastAsia="仿宋_GB2312" w:cs="仿宋_GB2312"/>
          <w:sz w:val="32"/>
          <w:szCs w:val="32"/>
          <w:lang w:val="en-US" w:eastAsia="zh-CN"/>
        </w:rPr>
        <w:t>2024年3月10日，申请人以挂号信方式向被申请人提出举报投诉，被申请人于3月16日签收。3月18日，被申请人晋城市市场监督管理局12315指挥中心登记该投诉和举报工单，并依法将两工单转至泽州县市场监督管理局办理，同时将处理结果以告知函方式邮寄送达申请人。2024年6月12日，申请人以挂号信方式提起行政复议。</w:t>
      </w:r>
    </w:p>
    <w:p w14:paraId="67D044FF">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三十条第一款第一项、第五项规定，行政复议机关收到行政复议申请后，应当在五日内进行审查。对符合下列规定的，行政复议机关应当予以受理：（一）有明确的申请人和符合本法规定的被申请人。（五）属于本机关的管辖范围。第十九条第一款规定，公民、法人或者其他组织对行政行为不服申请行政复议的，作出行政行为的行政机关是被申请人。本案中，申请人向被申请人提起投诉举报，被申请人依据属地管辖原则将案件转至</w:t>
      </w:r>
      <w:r>
        <w:rPr>
          <w:rFonts w:hint="eastAsia" w:ascii="仿宋_GB2312" w:hAnsi="仿宋_GB2312" w:eastAsia="仿宋_GB2312" w:cs="仿宋_GB2312"/>
          <w:sz w:val="32"/>
          <w:szCs w:val="32"/>
          <w:lang w:val="en-US" w:eastAsia="zh-CN"/>
        </w:rPr>
        <w:t>泽州县市场监督管理局，并在法定期限内将案件转交情况邮寄告知申请人，故本案被申请人应为泽州县市场监督管理局或其下属市场监管所，根据</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第二十四条的规定，依法应由泽州县人民政府进行管辖。</w:t>
      </w:r>
    </w:p>
    <w:p w14:paraId="618CA667">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bookmarkStart w:id="6" w:name="_GoBack"/>
      <w:bookmarkEnd w:id="6"/>
    </w:p>
    <w:p w14:paraId="59E53202">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5F9E1177">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7CC5F14F">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p>
    <w:p w14:paraId="0A8BFC8C">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日</w:t>
      </w:r>
    </w:p>
    <w:p w14:paraId="54445C58"/>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08E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A4507D">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FA4507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70D16"/>
    <w:rsid w:val="1A77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2025-06-04T08:25:00Z</dcterms:created>
  <dc:creator>山风</dc:creator>
  <cp:lastModifiedBy>山风</cp:lastModifiedBy>
  <dcterms:modified xsi:type="dcterms:W3CDTF">2025-06-04T08:26:45Z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B3495E00CDB24A10A2114A034C011120_11</vt:lpwstr>
  </property>
  <property fmtid="{D5CDD505-2E9C-101B-9397-08002B2CF9AE}" pid="4" name="KSOTemplateDocerSaveRecord">
    <vt:lpwstr>eyJoZGlkIjoiY2FiYmY1MTJkNjk2MzJlZDQxYzcyNWJlOGEwNWQ3M2IiLCJ1c2VySWQiOiIyODA5MjQ0NjcifQ==</vt:lpwstr>
  </property>
</Properties>
</file>