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3123E">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CCBB159">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743D34B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3D436DF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 xml:space="preserve">   </w:t>
      </w:r>
    </w:p>
    <w:p w14:paraId="324DCB0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韦某</w:t>
      </w:r>
      <w:r>
        <w:rPr>
          <w:rFonts w:hint="eastAsia" w:ascii="仿宋_GB2312" w:hAnsi="仿宋_GB2312" w:eastAsia="仿宋_GB2312" w:cs="仿宋_GB2312"/>
          <w:sz w:val="32"/>
          <w:szCs w:val="32"/>
        </w:rPr>
        <w:t xml:space="preserve">  </w:t>
      </w:r>
    </w:p>
    <w:p w14:paraId="33E8DF9A">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 xml:space="preserve">   </w:t>
      </w:r>
    </w:p>
    <w:p w14:paraId="174788A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李某</w:t>
      </w:r>
      <w:r>
        <w:rPr>
          <w:rFonts w:hint="eastAsia" w:ascii="仿宋_GB2312" w:hAnsi="仿宋_GB2312" w:eastAsia="仿宋_GB2312" w:cs="仿宋_GB2312"/>
          <w:sz w:val="32"/>
          <w:szCs w:val="32"/>
        </w:rPr>
        <w:t xml:space="preserve">   </w:t>
      </w:r>
    </w:p>
    <w:p w14:paraId="3CFF435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刘某</w:t>
      </w:r>
      <w:r>
        <w:rPr>
          <w:rFonts w:hint="eastAsia" w:ascii="仿宋_GB2312" w:hAnsi="仿宋_GB2312" w:eastAsia="仿宋_GB2312" w:cs="仿宋_GB2312"/>
          <w:sz w:val="32"/>
          <w:szCs w:val="32"/>
        </w:rPr>
        <w:t xml:space="preserve">   </w:t>
      </w:r>
    </w:p>
    <w:p w14:paraId="7E80B75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史某</w:t>
      </w:r>
      <w:r>
        <w:rPr>
          <w:rFonts w:hint="eastAsia" w:ascii="仿宋_GB2312" w:hAnsi="仿宋_GB2312" w:eastAsia="仿宋_GB2312" w:cs="仿宋_GB2312"/>
          <w:sz w:val="32"/>
          <w:szCs w:val="32"/>
        </w:rPr>
        <w:t xml:space="preserve">   </w:t>
      </w:r>
    </w:p>
    <w:p w14:paraId="1B3F08F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原某</w:t>
      </w:r>
      <w:r>
        <w:rPr>
          <w:rFonts w:hint="eastAsia" w:ascii="仿宋_GB2312" w:hAnsi="仿宋_GB2312" w:eastAsia="仿宋_GB2312" w:cs="仿宋_GB2312"/>
          <w:sz w:val="32"/>
          <w:szCs w:val="32"/>
        </w:rPr>
        <w:t xml:space="preserve">  </w:t>
      </w:r>
    </w:p>
    <w:p w14:paraId="21B6400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申请人：晋城市城市管理综合行政执法局</w:t>
      </w:r>
    </w:p>
    <w:p w14:paraId="338F42F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法定代表人：杨鸿飞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职务：局长</w:t>
      </w:r>
    </w:p>
    <w:p w14:paraId="7134C9C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未在法定期限内答复其《履行法定（查处）职责申请书》</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本机关依法受理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经书面审理及听取当事人意见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14:paraId="6059A21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申请人称：申请人2014年左右购买了晋城市</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房地产开发有限公司开发建设的晋城“</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商贸城”项目地下负一楼的商铺。申请人与</w:t>
      </w:r>
      <w:r>
        <w:rPr>
          <w:rFonts w:hint="eastAsia" w:ascii="仿宋_GB2312" w:hAnsi="仿宋_GB2312" w:eastAsia="仿宋_GB2312" w:cs="仿宋_GB2312"/>
          <w:b w:val="0"/>
          <w:bCs w:val="0"/>
          <w:sz w:val="32"/>
          <w:szCs w:val="32"/>
          <w:lang w:eastAsia="zh-CN"/>
        </w:rPr>
        <w:t>被查处人</w:t>
      </w:r>
      <w:r>
        <w:rPr>
          <w:rFonts w:hint="eastAsia" w:ascii="仿宋_GB2312" w:hAnsi="仿宋_GB2312" w:eastAsia="仿宋_GB2312" w:cs="仿宋_GB2312"/>
          <w:b w:val="0"/>
          <w:bCs w:val="0"/>
          <w:sz w:val="32"/>
          <w:szCs w:val="32"/>
        </w:rPr>
        <w:t>签订《商铺使用权买断合同》，合同约定开发商将特定商铺使用权一次性转让给乙方，乙方在买断使用权期限内对该商铺享有收益的权利。时至今日申请人所购买的商铺尚未竣工验收，目前处在烂尾阶段，于是申请人向晋城市住房和城乡建设局、晋城城区住房和城乡建设局、晋城市自然资源和规划局申请建设用地规划许可证、建设工程规划许可证、建设工程施工许可证、商品房预售许可证等相关材料，根据其答复，依据晋城市住房和城乡建设局2023年10月31日作出的市建办依复</w:t>
      </w:r>
      <w:r>
        <w:rPr>
          <w:rFonts w:hint="eastAsia" w:ascii="仿宋_GB2312" w:hAnsi="新宋体" w:eastAsia="仿宋_GB2312"/>
          <w:sz w:val="32"/>
          <w:szCs w:val="32"/>
        </w:rPr>
        <w:t>〔</w:t>
      </w:r>
      <w:r>
        <w:rPr>
          <w:rFonts w:hint="eastAsia" w:ascii="仿宋_GB2312" w:hAnsi="仿宋_GB2312" w:eastAsia="仿宋_GB2312" w:cs="仿宋_GB2312"/>
          <w:b w:val="0"/>
          <w:bCs w:val="0"/>
          <w:sz w:val="32"/>
          <w:szCs w:val="32"/>
        </w:rPr>
        <w:t>2023〕第26号和市建办依复</w:t>
      </w:r>
      <w:r>
        <w:rPr>
          <w:rFonts w:hint="eastAsia" w:ascii="仿宋_GB2312" w:hAnsi="新宋体" w:eastAsia="仿宋_GB2312"/>
          <w:sz w:val="32"/>
          <w:szCs w:val="32"/>
        </w:rPr>
        <w:t>〔</w:t>
      </w:r>
      <w:r>
        <w:rPr>
          <w:rFonts w:hint="eastAsia" w:ascii="仿宋_GB2312" w:hAnsi="仿宋_GB2312" w:eastAsia="仿宋_GB2312" w:cs="仿宋_GB2312"/>
          <w:b w:val="0"/>
          <w:bCs w:val="0"/>
          <w:sz w:val="32"/>
          <w:szCs w:val="32"/>
        </w:rPr>
        <w:t>2023〕第27号《政府信息公开答复书》；晋城市城区住房和城乡建设局2023年11月6日作出的关于对史</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和原</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申请政府信息公开的答复可知，申请人认为案涉项目未取得建设工程施工许可证、商品房预售许可证，那么</w:t>
      </w:r>
      <w:r>
        <w:rPr>
          <w:rFonts w:hint="eastAsia" w:ascii="仿宋_GB2312" w:hAnsi="仿宋_GB2312" w:eastAsia="仿宋_GB2312" w:cs="仿宋_GB2312"/>
          <w:b w:val="0"/>
          <w:bCs w:val="0"/>
          <w:sz w:val="32"/>
          <w:szCs w:val="32"/>
          <w:lang w:eastAsia="zh-CN"/>
        </w:rPr>
        <w:t>被查处人</w:t>
      </w:r>
      <w:r>
        <w:rPr>
          <w:rFonts w:hint="eastAsia" w:ascii="仿宋_GB2312" w:hAnsi="仿宋_GB2312" w:eastAsia="仿宋_GB2312" w:cs="仿宋_GB2312"/>
          <w:b w:val="0"/>
          <w:bCs w:val="0"/>
          <w:sz w:val="32"/>
          <w:szCs w:val="32"/>
        </w:rPr>
        <w:t>售卖商铺的行为侵犯了申请人的合法权益。基于此，申请人在2024年5月21日，中请人通过EMS(1250804730810)邮寄给被申请人《履行法定（查处)职责申请书》，被申请人于2024年5月23签收。但是直到复议之日，申请人都没有收到被申请人的答复，申请人认为被申请人不予处理违法查处的行为违法，理由如下：被申请人未对申请人的查处申请</w:t>
      </w:r>
      <w:r>
        <w:rPr>
          <w:rFonts w:hint="eastAsia" w:ascii="仿宋_GB2312" w:hAnsi="仿宋_GB2312" w:eastAsia="仿宋_GB2312" w:cs="仿宋_GB2312"/>
          <w:b w:val="0"/>
          <w:bCs w:val="0"/>
          <w:sz w:val="32"/>
          <w:szCs w:val="32"/>
          <w:lang w:eastAsia="zh-CN"/>
        </w:rPr>
        <w:t>予</w:t>
      </w:r>
      <w:r>
        <w:rPr>
          <w:rFonts w:hint="eastAsia" w:ascii="仿宋_GB2312" w:hAnsi="仿宋_GB2312" w:eastAsia="仿宋_GB2312" w:cs="仿宋_GB2312"/>
          <w:b w:val="0"/>
          <w:bCs w:val="0"/>
          <w:sz w:val="32"/>
          <w:szCs w:val="32"/>
        </w:rPr>
        <w:t>以答复已经超过法定答复期限，程序严重违法。根据《中华人民共和国行政复议实施条例》第十六条第一款第二项规定：当事人申请行政机关履行法定职责，法律没有对履行期限作出规定的，行政机关收到申请满60日起未履行法定职责的，当事人可以向复议机关申请行政复议。另根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诉讼法》第四十七条的规定：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本案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申请人在2024年5月21日，申请人通过EMS(1250804730810)邮寄给被申请人《履行法定</w:t>
      </w:r>
      <w:r>
        <w:rPr>
          <w:rFonts w:hint="eastAsia" w:ascii="仿宋_GB2312" w:hAnsi="仿宋_GB2312" w:eastAsia="仿宋_GB2312" w:cs="仿宋_GB2312"/>
          <w:b w:val="0"/>
          <w:bCs w:val="0"/>
          <w:sz w:val="32"/>
          <w:szCs w:val="32"/>
          <w:lang w:eastAsia="zh-CN"/>
        </w:rPr>
        <w:t>（查处）</w:t>
      </w:r>
      <w:r>
        <w:rPr>
          <w:rFonts w:hint="eastAsia" w:ascii="仿宋_GB2312" w:hAnsi="仿宋_GB2312" w:eastAsia="仿宋_GB2312" w:cs="仿宋_GB2312"/>
          <w:b w:val="0"/>
          <w:bCs w:val="0"/>
          <w:sz w:val="32"/>
          <w:szCs w:val="32"/>
        </w:rPr>
        <w:t>职责申请书》，被申请人于2024年5月23日签收，被申请人的答复在2024年7月23日截止。本申请人直至复议之日还未答复，程序严重违法。</w:t>
      </w:r>
    </w:p>
    <w:p w14:paraId="77FA70B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综上所述，申请人认为被申请人不予处理违法查处的行为违法，为了维护自身的合法权益，申请人依据《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行政复议法》的有关规定，向贵府提起行政复议，望支持申请人的诉讼请求。</w:t>
      </w:r>
    </w:p>
    <w:p w14:paraId="1C2638D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0" w:name="by_proposer_statement1"/>
      <w:bookmarkEnd w:id="0"/>
      <w:r>
        <w:rPr>
          <w:rFonts w:hint="eastAsia" w:ascii="仿宋_GB2312" w:hAnsi="仿宋_GB2312" w:eastAsia="仿宋_GB2312" w:cs="仿宋_GB2312"/>
          <w:b w:val="0"/>
          <w:bCs w:val="0"/>
          <w:sz w:val="32"/>
          <w:szCs w:val="32"/>
          <w:lang w:val="en-US" w:eastAsia="zh-CN"/>
        </w:rPr>
        <w:t>：一、申请人的复议请求不属于法律规定的可以申请行政复议的情形，被申请人未对其作出任何具体行政行为，其复议申请无事实及法律依据。依据《中华人民共和国行政复议法》第十一条 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首先，第十一条所列情形，均为行政机关的具体行政行为侵害其合法权益的情形，而本案中，被申请人未对被申请人作出任何具体行政行为，更不可能侵害其合法权益。其次，第十一条第十一项具体内容为“申请行政机关履行保护人身权利、财产权利、受教育权利等合法权益的法定职责，行政机关拒绝履行、未依法履行或者不予答复”，该项中的“人身权利”是指没有直接经济内容，与公民人身相关的权利，它包括人格权和身份权。而“财产权利”是指有一定物质内容，直接体现为经济利益的权利，主要包括所有权及其他物权、债权和知识产权等，而保护人身权利、财产权利主要是公安机关的职责而非被申请人的职责，且申请人仅要求被申请人对其提供的违法线索进行调查及处罚，并未申请保护其人身权利、财产权利。综上，本案不属于法律规定的可以申请行政复议的情形，申请人的复议请求无法律依据，依法应当予以驳回。</w:t>
      </w:r>
    </w:p>
    <w:p w14:paraId="38136731">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被申请人在收到行政查处申请书后，已于2024年8月30日进行了回复，将调查情况进行了告知。</w:t>
      </w:r>
    </w:p>
    <w:p w14:paraId="2658021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综上所述，申请人的复议请求，依法不属于行政复议的情形，且被申请人已进行了回复。故答复如上，恳请复议机关驳回申请人的复议请求。</w:t>
      </w:r>
    </w:p>
    <w:p w14:paraId="4846E71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经审理查明：2024年5月21日，申请人</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邮寄</w:t>
      </w:r>
      <w:r>
        <w:rPr>
          <w:rFonts w:hint="eastAsia" w:ascii="仿宋_GB2312" w:hAnsi="仿宋_GB2312" w:eastAsia="仿宋_GB2312" w:cs="仿宋_GB2312"/>
          <w:sz w:val="32"/>
          <w:szCs w:val="32"/>
        </w:rPr>
        <w:t>《履行法定</w:t>
      </w:r>
      <w:r>
        <w:rPr>
          <w:rFonts w:hint="eastAsia" w:ascii="仿宋_GB2312" w:hAnsi="仿宋_GB2312" w:eastAsia="仿宋_GB2312" w:cs="仿宋_GB2312"/>
          <w:sz w:val="32"/>
          <w:szCs w:val="32"/>
          <w:lang w:eastAsia="zh-CN"/>
        </w:rPr>
        <w:t>（查处）</w:t>
      </w:r>
      <w:r>
        <w:rPr>
          <w:rFonts w:hint="eastAsia" w:ascii="仿宋_GB2312" w:hAnsi="仿宋_GB2312" w:eastAsia="仿宋_GB2312" w:cs="仿宋_GB2312"/>
          <w:sz w:val="32"/>
          <w:szCs w:val="32"/>
        </w:rPr>
        <w:t>职责申请书》</w:t>
      </w:r>
      <w:r>
        <w:rPr>
          <w:rFonts w:hint="eastAsia" w:ascii="仿宋_GB2312" w:hAnsi="仿宋_GB2312" w:eastAsia="仿宋_GB2312" w:cs="仿宋_GB2312"/>
          <w:sz w:val="32"/>
          <w:szCs w:val="32"/>
          <w:lang w:eastAsia="zh-CN"/>
        </w:rPr>
        <w:t>，请被申请人对“某商贸城”项目建设过程中未取得施工许可证、商品房预售废物箱的行为进行查处，并将处理及时告知申请人。邮件轨迹显示：</w:t>
      </w:r>
      <w:r>
        <w:rPr>
          <w:rFonts w:hint="eastAsia" w:ascii="仿宋_GB2312" w:hAnsi="仿宋_GB2312" w:eastAsia="仿宋_GB2312" w:cs="仿宋_GB2312"/>
          <w:sz w:val="32"/>
          <w:szCs w:val="32"/>
        </w:rPr>
        <w:t>被申请人于2024年5月23日签收</w:t>
      </w:r>
      <w:r>
        <w:rPr>
          <w:rFonts w:hint="eastAsia" w:ascii="仿宋_GB2312" w:hAnsi="仿宋_GB2312" w:eastAsia="仿宋_GB2312" w:cs="仿宋_GB2312"/>
          <w:sz w:val="32"/>
          <w:szCs w:val="32"/>
          <w:lang w:eastAsia="zh-CN"/>
        </w:rPr>
        <w:t>。</w:t>
      </w:r>
    </w:p>
    <w:p w14:paraId="3E3BBFA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2024年8月30日，被申请人作出《关于〈履行法定（查处）职责申请书〉的回复》并邮寄送达申请人。</w:t>
      </w:r>
    </w:p>
    <w:p w14:paraId="1DAE9EC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lang w:eastAsia="zh-CN"/>
        </w:rPr>
        <w:t>：《中华人民共和国行政复议法》第十一条第十一项规定，有下列情形之一的，公民、法人或者其他组织可以依照本法申请行政复议：（十一）申请行政机关履行保护人身权利、财产权利、受教育权利等合法权益的法定职责，行政机关拒绝履行、未依法履行或者不予答复。申请人为维护自身权益向被申请人邮寄《</w:t>
      </w:r>
      <w:r>
        <w:rPr>
          <w:rFonts w:hint="eastAsia" w:ascii="仿宋_GB2312" w:hAnsi="仿宋_GB2312" w:eastAsia="仿宋_GB2312" w:cs="仿宋_GB2312"/>
          <w:sz w:val="32"/>
          <w:szCs w:val="32"/>
          <w:lang w:val="en-US" w:eastAsia="zh-CN"/>
        </w:rPr>
        <w:t>履行法定（查处）职责申请书》</w:t>
      </w:r>
      <w:r>
        <w:rPr>
          <w:rFonts w:hint="eastAsia" w:ascii="仿宋_GB2312" w:hAnsi="仿宋_GB2312" w:eastAsia="仿宋_GB2312" w:cs="仿宋_GB2312"/>
          <w:sz w:val="32"/>
          <w:szCs w:val="32"/>
          <w:lang w:eastAsia="zh-CN"/>
        </w:rPr>
        <w:t>，被申请人收到申请书后应当对该申请进行核查并及时答复申请人。本案中，被申请人收到履职申请后依法进行了调查，并作出</w:t>
      </w:r>
      <w:r>
        <w:rPr>
          <w:rFonts w:hint="eastAsia" w:ascii="仿宋_GB2312" w:hAnsi="仿宋_GB2312" w:eastAsia="仿宋_GB2312" w:cs="仿宋_GB2312"/>
          <w:sz w:val="32"/>
          <w:szCs w:val="32"/>
          <w:lang w:val="en-US" w:eastAsia="zh-CN"/>
        </w:rPr>
        <w:t>《关于〈履行法定（查处）职责申请书〉的回复》，但其在申请人提起行政复议后才将答复书送达申请人，系拖延履行答复职责。</w:t>
      </w:r>
    </w:p>
    <w:p w14:paraId="6793D94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综上，被申请人拖延履行答复职责，但因其已对申请人进行答复，责令履行没有意义，故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根据《中华人民共和国行政复议法》第六十五条第二款第三项的规定，本复议机关作出如下决定：</w:t>
      </w:r>
    </w:p>
    <w:p w14:paraId="3100A56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确认被申请人未在法定期限内答复申请人《</w:t>
      </w:r>
      <w:r>
        <w:rPr>
          <w:rFonts w:hint="eastAsia" w:ascii="仿宋_GB2312" w:hAnsi="仿宋_GB2312" w:eastAsia="仿宋_GB2312" w:cs="仿宋_GB2312"/>
          <w:sz w:val="32"/>
          <w:szCs w:val="32"/>
          <w:lang w:val="en-US" w:eastAsia="zh-CN"/>
        </w:rPr>
        <w:t>履行法定（查处）职责申请书</w:t>
      </w:r>
      <w:r>
        <w:rPr>
          <w:rFonts w:hint="eastAsia" w:ascii="仿宋_GB2312" w:hAnsi="仿宋_GB2312" w:eastAsia="仿宋_GB2312" w:cs="仿宋_GB2312"/>
          <w:i w:val="0"/>
          <w:caps w:val="0"/>
          <w:color w:val="000000"/>
          <w:spacing w:val="0"/>
          <w:kern w:val="0"/>
          <w:sz w:val="32"/>
          <w:szCs w:val="32"/>
          <w:lang w:val="en-US" w:eastAsia="zh-CN" w:bidi="ar"/>
        </w:rPr>
        <w:t>》的行为违法。</w:t>
      </w:r>
    </w:p>
    <w:p w14:paraId="07274B9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14:paraId="4CA5570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47C34B9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6D21597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5B66EB6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522A0529">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420" w:rightChars="200" w:firstLine="720" w:firstLineChars="22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十月十四日</w:t>
      </w:r>
    </w:p>
    <w:p w14:paraId="1A45FA7F">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75816A7">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6C7A610">
      <w:bookmarkStart w:id="2" w:name="_GoBack"/>
      <w:bookmarkEnd w:id="2"/>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AD6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AD1141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4C0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42B3028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BE18">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AFB7F"/>
    <w:multiLevelType w:val="singleLevel"/>
    <w:tmpl w:val="E7EAFB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09FB"/>
    <w:rsid w:val="68B3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2025-06-06T03:01:00Z</dcterms:created>
  <dc:creator>山风</dc:creator>
  <cp:lastModifiedBy>山风</cp:lastModifiedBy>
  <dcterms:modified xsi:type="dcterms:W3CDTF">2025-06-06T03:01:20Z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5F62E9AB58AB44FA85DC1AA71F6A94C2_11</vt:lpwstr>
  </property>
  <property fmtid="{D5CDD505-2E9C-101B-9397-08002B2CF9AE}" pid="4" name="KSOTemplateDocerSaveRecord">
    <vt:lpwstr>eyJoZGlkIjoiY2FiYmY1MTJkNjk2MzJlZDQxYzcyNWJlOGEwNWQ3M2IiLCJ1c2VySWQiOiIyODA5MjQ0NjcifQ==</vt:lpwstr>
  </property>
</Properties>
</file>