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某乡某自然庄村民居住区位于某煤业采煤区域，受到地质灾害的威胁，为保护村民生命财产的安全，某自然庄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确定了“</w:t>
      </w:r>
      <w:bookmarkStart w:id="4" w:name="_GoBack"/>
      <w:bookmarkEnd w:id="4"/>
      <w:r>
        <w:rPr>
          <w:rFonts w:hint="eastAsia" w:ascii="仿宋_GB2312" w:hAnsi="Times New Roman" w:eastAsia="仿宋_GB2312" w:cs="Times New Roman"/>
          <w:sz w:val="32"/>
          <w:szCs w:val="32"/>
          <w:lang w:eastAsia="zh-CN"/>
        </w:rPr>
        <w:t>政府主导，企业主体，市场运作，各负其责”的工作思路。该方案中载明：“三、主要任务与重点工程（一）主要任务2．分乡镇实施任务（8）某乡 某乡采煤沉陷区搬迁治理涉及某自然庄、某岩村、某山村，规划搬迁安置采煤沉陷区治理搬迁安置户162户、449口人，规划在某村新建安置住宅及配套公共服务用房17496平方米，搬迁安置完成后复垦宅基地等各类用地243亩。四、保障措施（一）组织保障 某乡（镇）人民政府等相关乡镇是采煤沉陷区综合治理的主要责任主体乡镇，对其范围内的采煤沉陷区治理负责；也是采煤沉陷区治理的项目实施主体，负责具体落实采煤沉陷区治理中的各项任务。”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某乡人民政府按照沁水县政府的实施方案要求，根据《山西省地质灾害防治条例》中地质灾害避让搬迁的第二十五条、第二十六条、第二十七条之规定，履行了采煤沉陷区治理的项目实施主体责任，某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某乡人民政府收到某煤业公司关于压煤村庄搬迁请示。2021年10月25日，某乡党政班子联席会议研究某自然庄避让搬迁事宜，明确了分管负责人，成立了工作专班。2021年11月，某乡人民政府以胡政函（2021）28号《关于同意某煤业公司实施某村某自然庄移民搬迁事宜的回复》，同意该搬迁事宜。2022年5月5日、2023年2月17日、2023年7月19日，某乡人民政府组织各方专题研究避让搬迁工作，明确了相关工作要求，确保了避让搬迁工作安全有序进行。管理服务单位于2023年3月24日至4月底入户进行摸底调查，征求村民意见，127户住户均同意搬迁。某自然庄搬迁补偿实原施方案经过了村党支部、村“两委”班子会、村党员大会、村民代表大会讨论通过，并进行了公示。某自然庄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目前，116户签订了搬迁补偿协议。某乡人民政府在搬迁启动、方案制定、搬迁程序上严格把关，起到了主导作用，落实了主体责任。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三、因采煤沉陷造成的某自然庄避让搬迁，不符合适用《国有土地上房屋征收与补偿条例》的条件。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某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某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某数据管理有限公司共同签订《某煤业沁水县某乡压煤村庄（某自然庄）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八</w:t>
      </w:r>
      <w:r>
        <w:rPr>
          <w:rFonts w:hint="eastAsia" w:ascii="仿宋_GB2312" w:eastAsia="仿宋_GB2312"/>
          <w:sz w:val="32"/>
          <w:szCs w:val="32"/>
          <w:lang w:eastAsia="zh-CN"/>
        </w:rPr>
        <w:t>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B7E3D"/>
    <w:rsid w:val="2CAC0B29"/>
    <w:rsid w:val="453B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2025-04-01T03:18:00Z</dcterms:created>
  <dc:creator>山风</dc:creator>
  <cp:lastModifiedBy>Administrator</cp:lastModifiedBy>
  <dcterms:modified xsi:type="dcterms:W3CDTF">2025-10-24T02:04:07Z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C24E8A8975354D56A081663FDAFCA1AA_11</vt:lpwstr>
  </property>
  <property fmtid="{D5CDD505-2E9C-101B-9397-08002B2CF9AE}" pid="4" name="KSOTemplateDocerSaveRecord">
    <vt:lpwstr>eyJoZGlkIjoiY2FiYmY1MTJkNjk2MzJlZDQxYzcyNWJlOGEwNWQ3M2IiLCJ1c2VySWQiOiIyODA5MjQ0NjcifQ==</vt:lpwstr>
  </property>
</Properties>
</file>