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关于2025年度市本级预算执行和其他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财政收支的审计工作报告</w:t>
      </w:r>
    </w:p>
    <w:p>
      <w:pPr>
        <w:pStyle w:val="2"/>
        <w:rPr>
          <w:rFonts w:hint="eastAsia"/>
          <w:lang w:val="en-US" w:eastAsia="zh-CN"/>
        </w:rPr>
      </w:pPr>
      <w:bookmarkStart w:id="2" w:name="_GoBack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sz w:val="36"/>
          <w:szCs w:val="36"/>
          <w:highlight w:val="none"/>
        </w:rPr>
        <w:t>主任、各位副主任、秘书长、各位委员：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720" w:firstLineChars="200"/>
        <w:jc w:val="both"/>
        <w:textAlignment w:val="auto"/>
        <w:rPr>
          <w:rFonts w:hint="eastAsia" w:ascii="楷体_GB2312" w:hAnsi="楷体_GB2312" w:eastAsia="仿宋_GB2312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highlight w:val="none"/>
        </w:rPr>
        <w:t>我受市人民政府委托，向市人大常委会报告202</w:t>
      </w:r>
      <w:r>
        <w:rPr>
          <w:rFonts w:hint="eastAsia" w:ascii="仿宋_GB2312" w:hAnsi="仿宋_GB2312" w:eastAsia="仿宋_GB2312" w:cs="仿宋_GB2312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6"/>
          <w:szCs w:val="36"/>
          <w:highlight w:val="none"/>
        </w:rPr>
        <w:t>年度市</w:t>
      </w:r>
      <w:r>
        <w:rPr>
          <w:rFonts w:hint="eastAsia" w:ascii="仿宋_GB2312" w:hAnsi="仿宋_GB2312" w:eastAsia="仿宋_GB2312" w:cs="仿宋_GB2312"/>
          <w:sz w:val="36"/>
          <w:szCs w:val="36"/>
          <w:highlight w:val="none"/>
          <w:lang w:eastAsia="zh-CN"/>
        </w:rPr>
        <w:t>本</w:t>
      </w:r>
      <w:r>
        <w:rPr>
          <w:rFonts w:hint="eastAsia" w:ascii="仿宋_GB2312" w:hAnsi="仿宋_GB2312" w:eastAsia="仿宋_GB2312" w:cs="仿宋_GB2312"/>
          <w:sz w:val="36"/>
          <w:szCs w:val="36"/>
          <w:highlight w:val="none"/>
        </w:rPr>
        <w:t>级预算执行和其他财政收支的审计情况，请予审议</w:t>
      </w:r>
      <w:r>
        <w:rPr>
          <w:rFonts w:hint="eastAsia" w:ascii="仿宋_GB2312" w:hAnsi="仿宋_GB2312" w:eastAsia="仿宋_GB2312" w:cs="仿宋_GB2312"/>
          <w:sz w:val="36"/>
          <w:szCs w:val="36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审计法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等有关法律法规，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市审计局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立足经济监督定位，对202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年度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市本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级预算执行和其他财政收支情况进行了审计，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全力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推动政策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措施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落地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见效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和财政资金提质增效。审计结果表明，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2025年全市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各县（市、区）、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各部门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紧紧围绕市委、市政府中心工作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，</w:t>
      </w:r>
      <w:r>
        <w:rPr>
          <w:rFonts w:ascii="Times New Roman" w:hAnsi="Times New Roman" w:eastAsia="仿宋_GB2312" w:cs="仿宋_GB2312"/>
          <w:sz w:val="36"/>
          <w:szCs w:val="36"/>
        </w:rPr>
        <w:t>坚定不移推动高质量发展、深化全方位转型</w:t>
      </w:r>
      <w:r>
        <w:rPr>
          <w:rFonts w:hint="eastAsia" w:ascii="仿宋_GB2312" w:hAnsi="仿宋_GB2312" w:eastAsia="仿宋_GB2312" w:cs="仿宋_GB2312"/>
          <w:sz w:val="36"/>
          <w:szCs w:val="36"/>
        </w:rPr>
        <w:t>，“十四五”规</w:t>
      </w:r>
      <w:r>
        <w:rPr>
          <w:rFonts w:ascii="Times New Roman" w:hAnsi="Times New Roman" w:eastAsia="仿宋_GB2312" w:cs="仿宋_GB2312"/>
          <w:sz w:val="36"/>
          <w:szCs w:val="36"/>
        </w:rPr>
        <w:t>划主要目标任务如期实现，中国式现代化晋城实践迈出坚实步伐。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Lines="0" w:line="640" w:lineRule="exact"/>
        <w:ind w:left="0" w:leftChars="0" w:firstLine="720" w:firstLineChars="200"/>
        <w:jc w:val="both"/>
        <w:textAlignment w:val="auto"/>
        <w:rPr>
          <w:b w:val="0"/>
          <w:color w:val="auto"/>
          <w:sz w:val="36"/>
          <w:szCs w:val="36"/>
          <w:highlight w:val="none"/>
        </w:rPr>
      </w:pPr>
      <w:r>
        <w:rPr>
          <w:rFonts w:hint="eastAsia"/>
          <w:color w:val="auto"/>
          <w:sz w:val="36"/>
          <w:szCs w:val="36"/>
          <w:highlight w:val="none"/>
          <w:lang w:eastAsia="zh-CN"/>
        </w:rPr>
        <w:t>一、</w:t>
      </w:r>
      <w:r>
        <w:rPr>
          <w:color w:val="auto"/>
          <w:sz w:val="36"/>
          <w:szCs w:val="36"/>
          <w:highlight w:val="none"/>
        </w:rPr>
        <w:t>财政管理审计情况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  <w:t>市本级</w:t>
      </w:r>
      <w:r>
        <w:rPr>
          <w:rFonts w:hint="eastAsia" w:ascii="仿宋_GB2312" w:hAnsi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  <w:t>及各部门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  <w:t>预算执行及决算草案编制情况，</w:t>
      </w:r>
      <w:r>
        <w:rPr>
          <w:rFonts w:hint="eastAsia" w:ascii="仿宋_GB2312" w:hAnsi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  <w:t>县级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  <w:t>政府财政收支情况</w:t>
      </w:r>
      <w:r>
        <w:rPr>
          <w:rFonts w:hint="eastAsia" w:ascii="仿宋_GB2312" w:hAnsi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  <w:t>进行了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sz w:val="36"/>
          <w:szCs w:val="36"/>
          <w:highlight w:val="none"/>
          <w:lang w:val="en-US" w:eastAsia="zh-CN"/>
        </w:rPr>
        <w:t>审计。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96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</w:pP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（一）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</w:rPr>
        <w:t>2025年度市本级预算执行及决算草案编制审计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</w:rPr>
        <w:t>。</w:t>
      </w:r>
      <w:r>
        <w:rPr>
          <w:rFonts w:hint="eastAsia" w:ascii="仿宋_GB2312" w:hAnsi="仿宋_GB2312" w:cs="仿宋_GB2312"/>
          <w:b w:val="0"/>
          <w:color w:val="auto"/>
          <w:spacing w:val="0"/>
          <w:sz w:val="36"/>
          <w:szCs w:val="36"/>
          <w:highlight w:val="none"/>
          <w:lang w:eastAsia="zh-CN"/>
        </w:rPr>
        <w:t>发现的主要问题：</w:t>
      </w:r>
      <w:r>
        <w:rPr>
          <w:rFonts w:hint="eastAsia" w:ascii="仿宋_GB2312" w:hAnsi="仿宋_GB2312" w:cs="仿宋_GB2312"/>
          <w:b/>
          <w:bCs/>
          <w:color w:val="auto"/>
          <w:spacing w:val="0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存量资金资产统筹盘活力度不足。</w:t>
      </w:r>
      <w:r>
        <w:rPr>
          <w:rFonts w:hint="eastAsia" w:ascii="仿宋_GB2312" w:hAnsi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财政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结余结转资金未统筹收回安排支出。土地、房屋等国有资产亟待盘活。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财政预、决算草案部分事项编报不精准。市本级未足额编列预备费。国有资本经营预</w:t>
      </w:r>
      <w:r>
        <w:rPr>
          <w:rFonts w:hint="eastAsia" w:ascii="仿宋_GB2312" w:hAnsi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、决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算编制科学性、严谨性不足。</w:t>
      </w:r>
      <w:r>
        <w:rPr>
          <w:rFonts w:hint="eastAsia" w:ascii="仿宋_GB2312" w:hAnsi="仿宋_GB2312" w:cs="仿宋_GB2312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部分</w:t>
      </w:r>
      <w:r>
        <w:rPr>
          <w:rFonts w:hint="eastAsia" w:ascii="仿宋_GB2312" w:hAnsi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支付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资金未</w:t>
      </w:r>
      <w:r>
        <w:rPr>
          <w:rFonts w:hint="eastAsia" w:ascii="仿宋_GB2312" w:hAnsi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及时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下达</w:t>
      </w:r>
      <w:r>
        <w:rPr>
          <w:rFonts w:hint="eastAsia" w:ascii="仿宋_GB2312" w:hAnsi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闲置低效。</w:t>
      </w:r>
    </w:p>
    <w:p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0" w:firstLine="720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eastAsia="zh-CN"/>
        </w:rPr>
      </w:pP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（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val="en-US" w:eastAsia="zh-CN"/>
        </w:rPr>
        <w:t>二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）市本级部门预算执行审计。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6"/>
          <w:szCs w:val="36"/>
          <w:highlight w:val="none"/>
          <w:lang w:val="en-US" w:eastAsia="zh-CN" w:bidi="ar-SA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个别预期性指标与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省、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市重点工作任务目标有差距。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预算支出不够规范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6"/>
          <w:szCs w:val="36"/>
          <w:highlight w:val="none"/>
          <w:lang w:val="en-US" w:eastAsia="zh-CN" w:bidi="ar-SA"/>
        </w:rPr>
        <w:t>14个部门（单位）85个项目预算执行率低于60%，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财政资金未发挥效益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6"/>
          <w:szCs w:val="36"/>
          <w:highlight w:val="none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6"/>
          <w:szCs w:val="36"/>
          <w:highlight w:val="none"/>
          <w:lang w:val="en-US" w:eastAsia="zh-CN" w:bidi="ar-SA"/>
        </w:rPr>
        <w:t>2个单位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超预算列支差旅费。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内控管理不够严格。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6"/>
          <w:szCs w:val="36"/>
          <w:highlight w:val="none"/>
          <w:lang w:val="en-US" w:eastAsia="zh-CN" w:bidi="ar-SA"/>
        </w:rPr>
        <w:t>2个部门合同签订和法律审查滞后。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个部门（单位）财务审核制度执行不严。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40" w:lineRule="exact"/>
        <w:ind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</w:pP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（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val="en-US" w:eastAsia="zh-CN"/>
        </w:rPr>
        <w:t>三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）县级财政管理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val="en-US" w:eastAsia="zh-CN"/>
        </w:rPr>
        <w:t>情况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审计。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收入征管水平有待提高。1个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县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21个项目少缴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水土保持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补偿费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1个县超比例设置预算稳定调节金。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财政资金列支有待规范。1个县动支预备费用于常规项目建设。2个县存量资金未统筹安排使用。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国有企业注资不够到位。2个县</w:t>
      </w:r>
      <w:bookmarkStart w:id="0" w:name="OLE_LINK29"/>
      <w:bookmarkStart w:id="1" w:name="OLE_LINK26"/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未及时、足额拨付县属国有企业注册资本金</w:t>
      </w:r>
      <w:bookmarkEnd w:id="0"/>
      <w:bookmarkEnd w:id="1"/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Lines="0" w:line="640" w:lineRule="exact"/>
        <w:ind w:left="0" w:leftChars="0" w:firstLine="720" w:firstLineChars="200"/>
        <w:jc w:val="both"/>
        <w:textAlignment w:val="auto"/>
        <w:rPr>
          <w:b w:val="0"/>
          <w:color w:val="auto"/>
          <w:sz w:val="36"/>
          <w:szCs w:val="36"/>
          <w:highlight w:val="none"/>
        </w:rPr>
      </w:pPr>
      <w:r>
        <w:rPr>
          <w:rFonts w:hint="eastAsia"/>
          <w:color w:val="auto"/>
          <w:sz w:val="36"/>
          <w:szCs w:val="36"/>
          <w:highlight w:val="none"/>
          <w:lang w:eastAsia="zh-CN"/>
        </w:rPr>
        <w:t>二、</w:t>
      </w:r>
      <w:r>
        <w:rPr>
          <w:color w:val="auto"/>
          <w:sz w:val="36"/>
          <w:szCs w:val="36"/>
          <w:highlight w:val="none"/>
        </w:rPr>
        <w:t>重大</w:t>
      </w:r>
      <w:r>
        <w:rPr>
          <w:rFonts w:hint="eastAsia"/>
          <w:color w:val="auto"/>
          <w:sz w:val="36"/>
          <w:szCs w:val="36"/>
          <w:highlight w:val="none"/>
          <w:lang w:val="en-US" w:eastAsia="zh-CN"/>
        </w:rPr>
        <w:t>项目、资金及相关政策</w:t>
      </w:r>
      <w:r>
        <w:rPr>
          <w:color w:val="auto"/>
          <w:sz w:val="36"/>
          <w:szCs w:val="36"/>
          <w:highlight w:val="none"/>
        </w:rPr>
        <w:t>落实审计情况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firstLine="696" w:firstLineChars="200"/>
        <w:jc w:val="both"/>
        <w:textAlignment w:val="auto"/>
        <w:rPr>
          <w:rFonts w:hint="default" w:ascii="Times New Roman" w:hAnsi="Times New Roman" w:cs="仿宋_GB2312"/>
          <w:b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cs="仿宋_GB2312"/>
          <w:b w:val="0"/>
          <w:color w:val="auto"/>
          <w:sz w:val="36"/>
          <w:szCs w:val="36"/>
          <w:highlight w:val="none"/>
          <w:lang w:val="en-US" w:eastAsia="zh-CN"/>
        </w:rPr>
        <w:t>对</w:t>
      </w:r>
      <w:r>
        <w:rPr>
          <w:rFonts w:hint="eastAsia" w:ascii="Times New Roman" w:hAnsi="Times New Roman" w:cs="仿宋_GB2312"/>
          <w:b w:val="0"/>
          <w:color w:val="auto"/>
          <w:sz w:val="36"/>
          <w:szCs w:val="36"/>
          <w:highlight w:val="none"/>
          <w:lang w:val="en-US" w:eastAsia="zh-CN"/>
        </w:rPr>
        <w:t>“两重”“两新”</w:t>
      </w:r>
      <w:r>
        <w:rPr>
          <w:rFonts w:hint="eastAsia" w:cs="仿宋_GB2312"/>
          <w:b w:val="0"/>
          <w:color w:val="auto"/>
          <w:sz w:val="36"/>
          <w:szCs w:val="36"/>
          <w:highlight w:val="none"/>
          <w:lang w:val="en-US" w:eastAsia="zh-CN"/>
        </w:rPr>
        <w:t>、</w:t>
      </w:r>
      <w:r>
        <w:rPr>
          <w:rFonts w:hint="eastAsia" w:ascii="Times New Roman" w:hAnsi="Times New Roman" w:cs="仿宋_GB2312"/>
          <w:b w:val="0"/>
          <w:color w:val="auto"/>
          <w:sz w:val="36"/>
          <w:szCs w:val="36"/>
          <w:highlight w:val="none"/>
          <w:lang w:val="en-US" w:eastAsia="zh-CN"/>
        </w:rPr>
        <w:t>地方政府债务风险防控</w:t>
      </w:r>
      <w:r>
        <w:rPr>
          <w:rFonts w:hint="eastAsia" w:cs="仿宋_GB2312"/>
          <w:b w:val="0"/>
          <w:color w:val="auto"/>
          <w:sz w:val="36"/>
          <w:szCs w:val="36"/>
          <w:highlight w:val="none"/>
          <w:lang w:val="en-US" w:eastAsia="zh-CN"/>
        </w:rPr>
        <w:t>等重大政策</w:t>
      </w:r>
      <w:r>
        <w:rPr>
          <w:rFonts w:hint="eastAsia"/>
          <w:color w:val="auto"/>
          <w:sz w:val="36"/>
          <w:szCs w:val="36"/>
          <w:highlight w:val="none"/>
        </w:rPr>
        <w:t>落实</w:t>
      </w:r>
      <w:r>
        <w:rPr>
          <w:rFonts w:hint="eastAsia" w:cs="仿宋_GB2312"/>
          <w:b w:val="0"/>
          <w:color w:val="auto"/>
          <w:sz w:val="36"/>
          <w:szCs w:val="36"/>
          <w:highlight w:val="none"/>
          <w:lang w:val="en-US" w:eastAsia="zh-CN"/>
        </w:rPr>
        <w:t>、</w:t>
      </w:r>
      <w:r>
        <w:rPr>
          <w:rFonts w:hint="eastAsia"/>
          <w:color w:val="auto"/>
          <w:sz w:val="36"/>
          <w:szCs w:val="36"/>
          <w:highlight w:val="none"/>
        </w:rPr>
        <w:t>重大项目</w:t>
      </w:r>
      <w:r>
        <w:rPr>
          <w:rFonts w:hint="eastAsia"/>
          <w:color w:val="auto"/>
          <w:sz w:val="36"/>
          <w:szCs w:val="36"/>
          <w:highlight w:val="none"/>
          <w:lang w:val="en-US" w:eastAsia="zh-CN"/>
        </w:rPr>
        <w:t>管理</w:t>
      </w:r>
      <w:r>
        <w:rPr>
          <w:rFonts w:hint="eastAsia"/>
          <w:color w:val="auto"/>
          <w:sz w:val="36"/>
          <w:szCs w:val="36"/>
          <w:highlight w:val="none"/>
          <w:lang w:eastAsia="zh-CN"/>
        </w:rPr>
        <w:t>及资金使用</w:t>
      </w:r>
      <w:r>
        <w:rPr>
          <w:rFonts w:hint="eastAsia"/>
          <w:color w:val="auto"/>
          <w:sz w:val="36"/>
          <w:szCs w:val="36"/>
          <w:highlight w:val="none"/>
          <w:lang w:val="en-US" w:eastAsia="zh-CN"/>
        </w:rPr>
        <w:t>情况</w:t>
      </w:r>
      <w:r>
        <w:rPr>
          <w:rFonts w:hint="eastAsia" w:cs="仿宋_GB2312"/>
          <w:b w:val="0"/>
          <w:color w:val="auto"/>
          <w:sz w:val="36"/>
          <w:szCs w:val="36"/>
          <w:highlight w:val="none"/>
          <w:lang w:val="en-US" w:eastAsia="zh-CN"/>
        </w:rPr>
        <w:t>进行了</w:t>
      </w:r>
      <w:r>
        <w:rPr>
          <w:rFonts w:hint="eastAsia"/>
          <w:color w:val="auto"/>
          <w:sz w:val="36"/>
          <w:szCs w:val="36"/>
          <w:highlight w:val="none"/>
        </w:rPr>
        <w:t>审计</w:t>
      </w:r>
      <w:r>
        <w:rPr>
          <w:rFonts w:hint="eastAsia" w:ascii="Times New Roman" w:hAnsi="Times New Roman" w:cs="仿宋_GB2312"/>
          <w:b w:val="0"/>
          <w:color w:val="auto"/>
          <w:sz w:val="36"/>
          <w:szCs w:val="36"/>
          <w:highlight w:val="none"/>
          <w:lang w:val="en-US" w:eastAsia="zh-CN"/>
        </w:rPr>
        <w:t>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firstLine="6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</w:pP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（一）“两重”“两新”政策落实情况审计。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项目谋划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缺乏系统性。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存在定制化项目偏少，落地转化率不高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整合力度不强等问题。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监管机制不完善</w:t>
      </w:r>
      <w:r>
        <w:rPr>
          <w:rFonts w:hint="eastAsia" w:ascii="仿宋_GB2312" w:hAnsi="仿宋_GB2312" w:eastAsia="仿宋_GB2312" w:cs="仿宋_GB2312"/>
          <w:b w:val="0"/>
          <w:strike w:val="0"/>
          <w:dstrike w:val="0"/>
          <w:color w:val="auto"/>
          <w:sz w:val="36"/>
          <w:szCs w:val="36"/>
          <w:highlight w:val="none"/>
          <w:lang w:val="en-US" w:eastAsia="zh-CN"/>
        </w:rPr>
        <w:t>。部分销售主体违规申报以旧换新补贴。</w:t>
      </w:r>
      <w:r>
        <w:rPr>
          <w:rFonts w:hint="eastAsia" w:ascii="仿宋_GB2312" w:hAnsi="仿宋_GB2312" w:eastAsia="仿宋_GB2312" w:cs="仿宋_GB2312"/>
          <w:b/>
          <w:bCs/>
          <w:strike w:val="0"/>
          <w:dstrike w:val="0"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strike w:val="0"/>
          <w:dstrike w:val="0"/>
          <w:color w:val="auto"/>
          <w:sz w:val="36"/>
          <w:szCs w:val="36"/>
          <w:highlight w:val="none"/>
          <w:lang w:val="en-US" w:eastAsia="zh-CN"/>
        </w:rPr>
        <w:t>预算评审</w:t>
      </w:r>
      <w:r>
        <w:rPr>
          <w:rFonts w:hint="eastAsia" w:ascii="仿宋_GB2312" w:hAnsi="仿宋_GB2312" w:cs="仿宋_GB2312"/>
          <w:b w:val="0"/>
          <w:strike w:val="0"/>
          <w:dstrike w:val="0"/>
          <w:color w:val="auto"/>
          <w:sz w:val="36"/>
          <w:szCs w:val="36"/>
          <w:highlight w:val="none"/>
          <w:lang w:val="en-US" w:eastAsia="zh-CN"/>
        </w:rPr>
        <w:t>不规范</w:t>
      </w:r>
      <w:r>
        <w:rPr>
          <w:rFonts w:hint="eastAsia" w:ascii="仿宋_GB2312" w:hAnsi="仿宋_GB2312" w:eastAsia="仿宋_GB2312" w:cs="仿宋_GB2312"/>
          <w:b w:val="0"/>
          <w:strike w:val="0"/>
          <w:dstrike w:val="0"/>
          <w:color w:val="auto"/>
          <w:sz w:val="36"/>
          <w:szCs w:val="36"/>
          <w:highlight w:val="none"/>
          <w:lang w:val="en-US" w:eastAsia="zh-CN"/>
        </w:rPr>
        <w:t>。2个“两重”项目先施工后预算评审，导致国债资金长期闲置，工程款未评先付。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资金兑付不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严谨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1个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县未及时兑付以旧换新资金，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2个县（区）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兑付设备更新资金未执行集中支付制度。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五是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部分项目前置建设程序未完成。2个“两重”项目先施工后办理施工许可。</w:t>
      </w:r>
    </w:p>
    <w:p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</w:pP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（二）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val="en-US" w:eastAsia="zh-CN"/>
        </w:rPr>
        <w:t>地方政府债务风险防控情况审计</w:t>
      </w:r>
      <w:r>
        <w:rPr>
          <w:rFonts w:hint="eastAsia" w:ascii="仿宋_GB2312" w:hAnsi="仿宋_GB2312" w:eastAsia="仿宋_GB2312" w:cs="仿宋_GB2312"/>
          <w:b w:val="0"/>
          <w:color w:val="auto"/>
          <w:spacing w:val="0"/>
          <w:kern w:val="2"/>
          <w:sz w:val="36"/>
          <w:szCs w:val="36"/>
          <w:highlight w:val="none"/>
          <w:lang w:val="en-US" w:eastAsia="zh-CN" w:bidi="ar-SA"/>
        </w:rPr>
        <w:t>。发现的主要问题：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专项债券项目形成资产管理不到位。资产底数不清，台账要素不全。全市有67个项目未验收。16个项目未及时启用。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专项债务无稳定的偿还资金来源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市本级和6个县（市、区）未及时、足额偿还专项债券本息。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Chars="0" w:firstLine="720" w:firstLineChars="200"/>
        <w:jc w:val="both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）教育实事项目落实情况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val="en-US" w:eastAsia="zh-CN"/>
        </w:rPr>
        <w:t>审计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前期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eastAsia="zh-CN"/>
        </w:rPr>
        <w:t>谋划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不准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/>
        </w:rPr>
        <w:t>1个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eastAsia="zh-CN"/>
        </w:rPr>
        <w:t>项目部分建设内容交叉重复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"/>
        </w:rPr>
        <w:t>教职工校方责任险与工伤保险保障范围重复。1个项目因前期调查论证不充分未实施。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6"/>
          <w:highlight w:val="none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部分项目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6"/>
          <w:szCs w:val="36"/>
          <w:highlight w:val="none"/>
          <w:lang w:val="en-US" w:eastAsia="zh-CN"/>
        </w:rPr>
        <w:t>未统筹采购或使用规定采购方式。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kern w:val="2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6"/>
          <w:szCs w:val="36"/>
          <w:highlight w:val="none"/>
          <w:lang w:val="en-US" w:eastAsia="zh-CN"/>
        </w:rPr>
        <w:t>个别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"/>
        </w:rPr>
        <w:t>项目运转效率不高。2个智慧图书室和英语听说功能教室，系统故障已闲置。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96" w:firstLineChars="200"/>
        <w:jc w:val="both"/>
        <w:textAlignment w:val="auto"/>
        <w:rPr>
          <w:rFonts w:hint="eastAsia"/>
          <w:color w:val="auto"/>
          <w:sz w:val="36"/>
          <w:szCs w:val="36"/>
          <w:highlight w:val="none"/>
        </w:rPr>
      </w:pP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（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val="en-US" w:eastAsia="zh-CN"/>
        </w:rPr>
        <w:t>四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）海绵城市资金管理使用情况审计。</w:t>
      </w:r>
      <w:r>
        <w:rPr>
          <w:rFonts w:hint="eastAsia" w:cs="仿宋_GB2312"/>
          <w:b w:val="0"/>
          <w:color w:val="auto"/>
          <w:sz w:val="36"/>
          <w:szCs w:val="36"/>
          <w:highlight w:val="none"/>
          <w:lang w:val="en-US" w:eastAsia="zh-CN"/>
        </w:rPr>
        <w:t>发现的主要问题：</w:t>
      </w:r>
      <w:r>
        <w:rPr>
          <w:rFonts w:hint="eastAsia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项目</w:t>
      </w: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推动较慢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导致预算执行率低</w:t>
      </w: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，建设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项目</w:t>
      </w: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资金总体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预算执行率低于</w:t>
      </w:r>
      <w:r>
        <w:rPr>
          <w:rFonts w:hint="eastAsia" w:ascii="仿宋_GB2312" w:hAnsi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6"/>
          <w:szCs w:val="36"/>
          <w:highlight w:val="none"/>
          <w:lang w:val="en-US" w:eastAsia="zh-CN" w:bidi="ar-SA"/>
        </w:rPr>
        <w:t>0%。</w:t>
      </w:r>
      <w:r>
        <w:rPr>
          <w:rFonts w:hint="eastAsia" w:ascii="仿宋_GB2312" w:hAnsi="仿宋_GB2312" w:cs="仿宋_GB2312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  <w:t>二是</w:t>
      </w:r>
      <w:r>
        <w:rPr>
          <w:rFonts w:hint="eastAsia" w:ascii="仿宋_GB2312" w:hAnsi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专项资金未按规定准确列支功能科目</w:t>
      </w:r>
      <w:r>
        <w:rPr>
          <w:rFonts w:hint="default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firstLine="696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（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val="en-US" w:eastAsia="zh-CN"/>
        </w:rPr>
        <w:t>五</w:t>
      </w:r>
      <w:r>
        <w:rPr>
          <w:rStyle w:val="26"/>
          <w:rFonts w:hint="eastAsia" w:ascii="楷体_GB2312" w:hAnsi="楷体_GB2312" w:eastAsia="楷体_GB2312" w:cs="楷体_GB2312"/>
          <w:color w:val="auto"/>
          <w:sz w:val="36"/>
          <w:szCs w:val="36"/>
          <w:highlight w:val="none"/>
          <w:lang w:eastAsia="zh-CN"/>
        </w:rPr>
        <w:t>）污染防治专项资金管理使用情况审计。</w:t>
      </w:r>
      <w:r>
        <w:rPr>
          <w:rFonts w:hint="eastAsia" w:cs="仿宋_GB2312"/>
          <w:b w:val="0"/>
          <w:color w:val="auto"/>
          <w:sz w:val="36"/>
          <w:szCs w:val="36"/>
          <w:highlight w:val="none"/>
          <w:lang w:val="en-US" w:eastAsia="zh-CN"/>
        </w:rPr>
        <w:t>发现的主要问题：</w:t>
      </w:r>
      <w:r>
        <w:rPr>
          <w:rFonts w:hint="eastAsia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cs="仿宋_GB2312"/>
          <w:b w:val="0"/>
          <w:color w:val="auto"/>
          <w:sz w:val="36"/>
          <w:szCs w:val="36"/>
          <w:highlight w:val="none"/>
          <w:lang w:val="en-US" w:eastAsia="zh-CN"/>
        </w:rPr>
        <w:t>超比例列支专项</w:t>
      </w: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资金</w:t>
      </w:r>
      <w:r>
        <w:rPr>
          <w:rFonts w:hint="eastAsia" w:ascii="仿宋_GB2312" w:hAnsi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用于</w:t>
      </w: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管理能力建设。</w:t>
      </w:r>
      <w:r>
        <w:rPr>
          <w:rFonts w:hint="eastAsia" w:ascii="仿宋_GB2312" w:hAnsi="仿宋_GB2312" w:cs="仿宋_GB2312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  <w:t>二是</w:t>
      </w:r>
      <w:r>
        <w:rPr>
          <w:rFonts w:hint="eastAsia" w:ascii="仿宋_GB2312" w:hAnsi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2个</w:t>
      </w: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项目进度缓慢，</w:t>
      </w:r>
      <w:r>
        <w:rPr>
          <w:rFonts w:hint="eastAsia" w:ascii="仿宋_GB2312" w:hAnsi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专项资金闲置</w:t>
      </w: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Lines="0" w:line="640" w:lineRule="exact"/>
        <w:ind w:left="0" w:leftChars="0" w:firstLine="720" w:firstLineChars="200"/>
        <w:jc w:val="both"/>
        <w:textAlignment w:val="auto"/>
        <w:rPr>
          <w:b w:val="0"/>
          <w:color w:val="auto"/>
          <w:sz w:val="36"/>
          <w:szCs w:val="36"/>
          <w:highlight w:val="none"/>
        </w:rPr>
      </w:pPr>
      <w:r>
        <w:rPr>
          <w:rFonts w:hint="eastAsia"/>
          <w:color w:val="auto"/>
          <w:sz w:val="36"/>
          <w:szCs w:val="36"/>
          <w:highlight w:val="none"/>
          <w:lang w:eastAsia="zh-CN"/>
        </w:rPr>
        <w:t>三、</w:t>
      </w:r>
      <w:r>
        <w:rPr>
          <w:color w:val="auto"/>
          <w:sz w:val="36"/>
          <w:szCs w:val="36"/>
          <w:highlight w:val="none"/>
        </w:rPr>
        <w:t>重点民生</w:t>
      </w:r>
      <w:r>
        <w:rPr>
          <w:rFonts w:hint="eastAsia"/>
          <w:color w:val="auto"/>
          <w:sz w:val="36"/>
          <w:szCs w:val="36"/>
          <w:highlight w:val="none"/>
          <w:lang w:val="en-US" w:eastAsia="zh-CN"/>
        </w:rPr>
        <w:t>资金、项目及相关政策落实</w:t>
      </w:r>
      <w:r>
        <w:rPr>
          <w:color w:val="auto"/>
          <w:sz w:val="36"/>
          <w:szCs w:val="36"/>
          <w:highlight w:val="none"/>
        </w:rPr>
        <w:t>审计情况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firstLine="696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对养老、医保政策措施落实情况、高标准农田建设</w:t>
      </w:r>
      <w:r>
        <w:rPr>
          <w:rFonts w:hint="eastAsia" w:ascii="仿宋_GB2312" w:hAnsi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管理</w:t>
      </w: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情况、住宅专项维修资金管理情况进行了审计和审计调查。</w:t>
      </w:r>
    </w:p>
    <w:p>
      <w:pPr>
        <w:keepNext w:val="0"/>
        <w:keepLines w:val="0"/>
        <w:pageBreakBefore w:val="0"/>
        <w:suppressAutoHyphens/>
        <w:kinsoku/>
        <w:wordWrap/>
        <w:topLinePunct w:val="0"/>
        <w:autoSpaceDE/>
        <w:autoSpaceDN/>
        <w:bidi w:val="0"/>
        <w:adjustRightInd/>
        <w:spacing w:line="640" w:lineRule="exact"/>
        <w:ind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</w:rPr>
        <w:t>养老服务政策措施落实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val="en-US" w:eastAsia="zh-CN"/>
        </w:rPr>
        <w:t>情况审计调查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养老政策落地有偏差。5个县（市）</w:t>
      </w:r>
      <w:r>
        <w:rPr>
          <w:rFonts w:hint="eastAsia" w:ascii="仿宋_GB2312" w:hAnsi="仿宋_GB2312" w:eastAsia="仿宋_GB2312" w:cs="仿宋_GB2312"/>
          <w:b w:val="0"/>
          <w:bCs w:val="0"/>
          <w:strike w:val="0"/>
          <w:dstrike w:val="0"/>
          <w:color w:val="auto"/>
          <w:kern w:val="2"/>
          <w:sz w:val="36"/>
          <w:szCs w:val="36"/>
          <w:highlight w:val="none"/>
          <w:lang w:val="en-US" w:eastAsia="zh-CN" w:bidi="ar-SA"/>
        </w:rPr>
        <w:t>多发放退休金或高龄津贴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养老机构监管不严格。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17个养老院截留、挤占特困供养金。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老年人权益保护落实不到位。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应发未发393人次高龄津贴。</w:t>
      </w:r>
    </w:p>
    <w:p>
      <w:pPr>
        <w:keepNext w:val="0"/>
        <w:keepLines w:val="0"/>
        <w:pageBreakBefore w:val="0"/>
        <w:suppressAutoHyphens/>
        <w:kinsoku/>
        <w:wordWrap/>
        <w:topLinePunct w:val="0"/>
        <w:autoSpaceDE/>
        <w:autoSpaceDN/>
        <w:bidi w:val="0"/>
        <w:adjustRightInd/>
        <w:spacing w:line="640" w:lineRule="exact"/>
        <w:ind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val="en-US" w:eastAsia="zh-CN"/>
        </w:rPr>
        <w:t>医保政策措施落实情况审计。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6"/>
          <w:szCs w:val="36"/>
          <w:highlight w:val="none"/>
          <w:lang w:val="en-US" w:eastAsia="zh-CN" w:bidi="ar-SA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kern w:val="2"/>
          <w:sz w:val="36"/>
          <w:szCs w:val="36"/>
          <w:highlight w:val="none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社保征缴管理方面。19家企业未参加医疗保险。125家企业欠缴医疗保险。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社保支付结算方面。死亡人员家属冒领医保基金。定点医疗机构违规多报医保基金。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长护险管理方面。9家机构长期不提供服务却未退出。2家养老中心违规借用资质申报定点护理机构。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firstLine="696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（三）高标准农田建设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val="en-US" w:eastAsia="zh-CN"/>
        </w:rPr>
        <w:t>管理情况审计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发现的主要问题：</w:t>
      </w:r>
      <w:r>
        <w:rPr>
          <w:rFonts w:hint="eastAsia" w:ascii="仿宋_GB2312" w:hAnsi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4个县高标准农田建设与国土空间规划不衔接</w:t>
      </w:r>
      <w:r>
        <w:rPr>
          <w:rFonts w:hint="eastAsia" w:ascii="仿宋_GB2312" w:hAnsi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项目资金使用失范。12个项目超标准列支建设管理费。3个县（市）未及时退还质保金。</w:t>
      </w:r>
      <w:r>
        <w:rPr>
          <w:rFonts w:hint="eastAsia" w:ascii="仿宋_GB2312" w:hAnsi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耕地质量管控薄弱。</w:t>
      </w:r>
      <w:r>
        <w:rPr>
          <w:rFonts w:hint="eastAsia" w:ascii="仿宋_GB2312" w:hAnsi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部分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项目</w:t>
      </w:r>
      <w:r>
        <w:rPr>
          <w:rFonts w:hint="eastAsia" w:ascii="仿宋_GB2312" w:hAnsi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管护标准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不达标</w:t>
      </w:r>
      <w:r>
        <w:rPr>
          <w:rFonts w:hint="eastAsia" w:ascii="仿宋_GB2312" w:hAnsi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部分已建成高标准农田未纳入永久基本农田实施特殊保护。</w:t>
      </w:r>
      <w:r>
        <w:rPr>
          <w:rFonts w:hint="eastAsia" w:ascii="仿宋_GB2312" w:hAnsi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资产效益发挥不足。县级管护经费预算不足，难以满足常态化管护需求。部分高标准农田设施长期闲置</w:t>
      </w:r>
      <w:r>
        <w:rPr>
          <w:rFonts w:hint="eastAsia" w:ascii="仿宋_GB2312" w:hAnsi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）住宅专项维修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val="en-US" w:eastAsia="zh-CN"/>
        </w:rPr>
        <w:t>资金专项审计。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kern w:val="2"/>
          <w:sz w:val="36"/>
          <w:szCs w:val="36"/>
          <w:highlight w:val="none"/>
          <w:vertAlign w:val="baseline"/>
          <w:lang w:val="en-US" w:eastAsia="zh-CN" w:bidi="ar-SA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</w:rPr>
        <w:t>资金归集不到位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7.26万户业主未缴存维修资金，645户住宅业主少缴存维修资金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资金管控不严格。4个县（市）增值收益未分配至业主账户。3个县（市）未经招标方式选定专户管理银行。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kern w:val="2"/>
          <w:sz w:val="36"/>
          <w:szCs w:val="36"/>
          <w:highlight w:val="none"/>
          <w:vertAlign w:val="baseline"/>
          <w:lang w:val="en-US" w:eastAsia="zh-CN" w:bidi="ar-SA"/>
        </w:rPr>
        <w:t>4个县（市）维修资金未落实保值增值管理要求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项目监管有疏漏。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</w:rPr>
        <w:t>25项维修工程未验收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即拨付资金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1个县（区）使用维修资金更换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eastAsia="zh-CN"/>
        </w:rPr>
        <w:t>非公共设施设备，侵占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eastAsia="zh-CN"/>
        </w:rPr>
        <w:t>业主权益。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Lines="0" w:line="640" w:lineRule="exact"/>
        <w:ind w:left="0" w:leftChars="0" w:firstLine="720" w:firstLineChars="200"/>
        <w:jc w:val="both"/>
        <w:textAlignment w:val="auto"/>
        <w:rPr>
          <w:rFonts w:hint="default"/>
          <w:b w:val="0"/>
          <w:color w:val="auto"/>
          <w:sz w:val="36"/>
          <w:szCs w:val="36"/>
          <w:highlight w:val="none"/>
          <w:lang w:val="en-US"/>
        </w:rPr>
      </w:pPr>
      <w:r>
        <w:rPr>
          <w:rFonts w:hint="eastAsia"/>
          <w:color w:val="auto"/>
          <w:sz w:val="36"/>
          <w:szCs w:val="36"/>
          <w:highlight w:val="none"/>
          <w:lang w:eastAsia="zh-CN"/>
        </w:rPr>
        <w:t>四、</w:t>
      </w:r>
      <w:r>
        <w:rPr>
          <w:color w:val="auto"/>
          <w:sz w:val="36"/>
          <w:szCs w:val="36"/>
          <w:highlight w:val="none"/>
        </w:rPr>
        <w:t>重大投资项目审计</w:t>
      </w:r>
      <w:r>
        <w:rPr>
          <w:rFonts w:hint="eastAsia"/>
          <w:color w:val="auto"/>
          <w:sz w:val="36"/>
          <w:szCs w:val="36"/>
          <w:highlight w:val="none"/>
          <w:lang w:val="en-US" w:eastAsia="zh-CN"/>
        </w:rPr>
        <w:t>和审计调查情况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0" w:firstLine="72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泽州公园南广场</w:t>
      </w:r>
      <w:r>
        <w:rPr>
          <w:rFonts w:hint="eastAsia" w:ascii="仿宋_GB2312" w:hAnsi="仿宋_GB2312" w:eastAsia="仿宋_GB2312" w:cs="仿宋_GB2312"/>
          <w:b w:val="0"/>
          <w:color w:val="auto"/>
          <w:spacing w:val="-3"/>
          <w:sz w:val="36"/>
          <w:szCs w:val="36"/>
          <w:highlight w:val="none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  <w:t>2个工程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  <w:t>竣工决算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情况，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市政基础设施建设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等2个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highlight w:val="none"/>
          <w:vertAlign w:val="baseline"/>
          <w:lang w:val="en-US" w:eastAsia="zh-CN"/>
        </w:rPr>
        <w:t>重大投资项目进行了审计和审计调查。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（一）投资项目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val="en-US" w:eastAsia="zh-CN"/>
        </w:rPr>
        <w:t>竣工决算</w:t>
      </w: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审计。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审批招标程序不严谨。2个项目未取得施工许可即开工建设。2个项目未编报水土保持方案。2个流标项目未依规重新招标。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EPC模式（工程总承包）运用不规范。2个项目均以财政评审价作为合同定价基数，市场竞争不充分。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安全环节管控不到位。2个项目危险性较大的分项工程现场管控存在隐患。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firstLine="6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z w:val="36"/>
          <w:szCs w:val="36"/>
          <w:highlight w:val="none"/>
          <w:lang w:eastAsia="zh-CN"/>
        </w:rPr>
        <w:t>（二）重大建设项目审计调查。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专项规划编制滞后。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规划</w:t>
      </w:r>
      <w:r>
        <w:rPr>
          <w:rFonts w:hint="eastAsia" w:ascii="仿宋_GB2312" w:hAnsi="仿宋_GB2312" w:eastAsia="仿宋_GB2312" w:cs="仿宋_GB2312"/>
          <w:color w:val="auto"/>
          <w:kern w:val="1"/>
          <w:sz w:val="36"/>
          <w:szCs w:val="36"/>
          <w:highlight w:val="none"/>
          <w:lang w:val="en-US" w:eastAsia="zh-CN"/>
        </w:rPr>
        <w:t>项目储备不足，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缺乏</w:t>
      </w:r>
      <w:r>
        <w:rPr>
          <w:rFonts w:hint="eastAsia" w:ascii="仿宋_GB2312" w:hAnsi="仿宋_GB2312" w:eastAsia="仿宋_GB2312" w:cs="仿宋_GB2312"/>
          <w:color w:val="auto"/>
          <w:kern w:val="1"/>
          <w:sz w:val="36"/>
          <w:szCs w:val="36"/>
          <w:highlight w:val="none"/>
          <w:lang w:val="en-US" w:eastAsia="zh-CN"/>
        </w:rPr>
        <w:t>指导性、前瞻性。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项目推进不畅。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部分项目长期空置未能转化为实际收益。个别项目建设进度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缓慢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对中标单位监管不严。2个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将项目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" w:eastAsia="zh-CN"/>
        </w:rPr>
        <w:t>违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规分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" w:eastAsia="zh-CN"/>
        </w:rPr>
        <w:t>包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个项目的中标企业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未严格执行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农民工工资保障制度。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Lines="0" w:line="640" w:lineRule="exact"/>
        <w:ind w:left="0" w:leftChars="0" w:firstLine="720" w:firstLineChars="200"/>
        <w:jc w:val="both"/>
        <w:textAlignment w:val="auto"/>
        <w:rPr>
          <w:color w:val="auto"/>
          <w:sz w:val="36"/>
          <w:szCs w:val="36"/>
          <w:highlight w:val="none"/>
        </w:rPr>
      </w:pPr>
      <w:r>
        <w:rPr>
          <w:rFonts w:hint="eastAsia"/>
          <w:color w:val="auto"/>
          <w:sz w:val="36"/>
          <w:szCs w:val="36"/>
          <w:highlight w:val="none"/>
          <w:lang w:eastAsia="zh-CN"/>
        </w:rPr>
        <w:t>五、</w:t>
      </w:r>
      <w:r>
        <w:rPr>
          <w:color w:val="auto"/>
          <w:sz w:val="36"/>
          <w:szCs w:val="36"/>
          <w:highlight w:val="none"/>
        </w:rPr>
        <w:t>国有资产管理审计情况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96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在部门预算执行、国有企业、经济责任等审计项目中，持续关注行政事业、国有企业、自然资源资产等3类国有资产管理情况。</w:t>
      </w:r>
    </w:p>
    <w:p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Chars="0" w:firstLine="696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（一）行政事业性国有资产管理情况审计。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6"/>
          <w:szCs w:val="36"/>
          <w:highlight w:val="none"/>
          <w:lang w:val="en-US" w:eastAsia="zh-CN" w:bidi="ar-SA"/>
        </w:rPr>
        <w:t>基础环节管理薄弱。4个单位资产</w:t>
      </w: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清查盘点有疏漏。4个部门（单位）固定资产未入账。3个已决算工程未结转固定资产。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6"/>
          <w:highlight w:val="none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6"/>
          <w:szCs w:val="36"/>
          <w:highlight w:val="none"/>
          <w:lang w:val="en-US" w:eastAsia="zh-CN" w:bidi="ar-SA"/>
        </w:rPr>
        <w:t>配备管理处置不当。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1个部门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6"/>
          <w:szCs w:val="36"/>
          <w:highlight w:val="none"/>
          <w:lang w:val="en-US" w:eastAsia="zh-CN" w:bidi="ar-SA"/>
        </w:rPr>
        <w:t>未履行审批程序报废3辆公务用车。</w:t>
      </w: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highlight w:val="none"/>
          <w:lang w:val="en-US" w:eastAsia="zh-CN" w:bidi="ar-SA"/>
        </w:rPr>
        <w:t>1个部门应急物资过期未处置、未更新。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right="0" w:firstLine="696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（二）企业国有资产管理情况审计。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6"/>
          <w:szCs w:val="36"/>
          <w:highlight w:val="none"/>
          <w:lang w:val="en-US" w:eastAsia="zh-CN" w:bidi="ar-SA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个别国企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“六定”改革方案推进缓慢。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运营管理存在短板。1个国企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未制定“三供”政策性亏损补贴绩效考核办法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所属子公司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highlight w:val="none"/>
          <w:lang w:val="en-US" w:eastAsia="zh-CN"/>
        </w:rPr>
        <w:t>欠征欠缴非税收入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6"/>
          <w:szCs w:val="36"/>
          <w:highlight w:val="none"/>
          <w:lang w:val="en-US" w:eastAsia="zh-CN"/>
        </w:rPr>
        <w:t>重大资产监管责任未落实。大水源建设第三水厂工程项目已完工2年未竣工验收。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（三）国有自然资源资产管理情况审计。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发现的主要问题：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水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资源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监管不够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到位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。三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工业园区未开展水资源论证区域评估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2个县（市）26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家企业超计划用水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自备水井关停任务未完成。非居民用水户未执行累进加价制度。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生态能力建设有待提升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。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1个部门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危险废物处置不及时。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1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eastAsia="zh-CN"/>
        </w:rPr>
        <w:t>个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val="en-US" w:eastAsia="zh-CN"/>
        </w:rPr>
        <w:t>县两座污水处理厂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的中水未有效利用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土地管控力度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不够严格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。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2个县（市）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346.12公顷土地批而未供。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3个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县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（市）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41个项目</w:t>
      </w:r>
      <w:r>
        <w:rPr>
          <w:rFonts w:hint="eastAsia" w:ascii="仿宋_GB2312" w:hAnsi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违法占地77.31公顷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Lines="0" w:afterLines="0" w:line="640" w:lineRule="exact"/>
        <w:ind w:left="0" w:leftChars="0" w:firstLine="720" w:firstLineChars="200"/>
        <w:jc w:val="both"/>
        <w:textAlignment w:val="auto"/>
        <w:rPr>
          <w:color w:val="auto"/>
          <w:sz w:val="36"/>
          <w:szCs w:val="36"/>
          <w:highlight w:val="none"/>
        </w:rPr>
      </w:pPr>
      <w:r>
        <w:rPr>
          <w:rFonts w:hint="eastAsia"/>
          <w:color w:val="auto"/>
          <w:sz w:val="36"/>
          <w:szCs w:val="36"/>
          <w:highlight w:val="none"/>
          <w:lang w:eastAsia="zh-CN"/>
        </w:rPr>
        <w:t>六、</w:t>
      </w:r>
      <w:r>
        <w:rPr>
          <w:color w:val="auto"/>
          <w:sz w:val="36"/>
          <w:szCs w:val="36"/>
          <w:highlight w:val="none"/>
        </w:rPr>
        <w:t>审计建议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left="0"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  <w:t>针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对审计反映的问题，提出了持续提升重大战略及重点任务支撑力，全面深化财政管理水平和治理效能，始终坚持更好保障和改善民生导向，精准防范化解各领域经济风险，从严推动国有资产资源增效赋能等建议。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left="0"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本报告反映的是预算执行和其他财政收支审计发现的主要问题，审计部门已依法征求被审计单位意见并出具审计报告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对涉嫌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违规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违纪违法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的32条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线索，移交有关部门进一步查处。有关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县（市、区）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、部门和单位正在积极整改。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市审计局</w:t>
      </w: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</w:rPr>
        <w:t>将持续跟踪督促，按有关规定报告全面整改情况。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left="0" w:leftChars="0" w:firstLine="7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6"/>
          <w:szCs w:val="36"/>
          <w:highlight w:val="none"/>
          <w:lang w:val="en-US" w:eastAsia="zh-CN"/>
        </w:rPr>
        <w:t>主任、各位副主任、秘书长、各位委员，今年是“十五五”规划的开局之年，审计机关将更加紧密地团结在以习近平同志为核心的党中央周围，坚持以习近平新时代中国特色社会主义思想为指导，按照市委、市政府部署要求，依法全面履行审计监督职责，自觉接受市人大及其常委会监督，以更加有效的审计作为保障“十五五”良好开局，为谱写中国式现代化晋城篇章作出新的更大贡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720" w:firstLineChars="200"/>
        <w:jc w:val="both"/>
        <w:textAlignment w:val="auto"/>
        <w:rPr>
          <w:rFonts w:hint="eastAsia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6"/>
          <w:szCs w:val="36"/>
          <w:highlight w:val="none"/>
        </w:rPr>
        <w:t>以上报告，请予审议。</w:t>
      </w:r>
    </w:p>
    <w:sectPr>
      <w:footerReference r:id="rId3" w:type="default"/>
      <w:footerReference r:id="rId4" w:type="even"/>
      <w:pgSz w:w="11906" w:h="16838"/>
      <w:pgMar w:top="2098" w:right="1474" w:bottom="181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E0852"/>
    <w:rsid w:val="0015270D"/>
    <w:rsid w:val="003004E2"/>
    <w:rsid w:val="005574FC"/>
    <w:rsid w:val="008B1170"/>
    <w:rsid w:val="008F66AB"/>
    <w:rsid w:val="02054E7E"/>
    <w:rsid w:val="02453A5B"/>
    <w:rsid w:val="025B14EB"/>
    <w:rsid w:val="025D08EA"/>
    <w:rsid w:val="030A6CC4"/>
    <w:rsid w:val="039F3401"/>
    <w:rsid w:val="040430B2"/>
    <w:rsid w:val="04222816"/>
    <w:rsid w:val="04333FF8"/>
    <w:rsid w:val="0436130D"/>
    <w:rsid w:val="0438160E"/>
    <w:rsid w:val="04936845"/>
    <w:rsid w:val="04B02D72"/>
    <w:rsid w:val="04F3592C"/>
    <w:rsid w:val="050A6C0A"/>
    <w:rsid w:val="05D9472B"/>
    <w:rsid w:val="05F02F82"/>
    <w:rsid w:val="06426E50"/>
    <w:rsid w:val="064C75F3"/>
    <w:rsid w:val="06F37A6F"/>
    <w:rsid w:val="070E48A8"/>
    <w:rsid w:val="079E5C2C"/>
    <w:rsid w:val="08FF0187"/>
    <w:rsid w:val="09002567"/>
    <w:rsid w:val="0959709F"/>
    <w:rsid w:val="09954E0D"/>
    <w:rsid w:val="09F14739"/>
    <w:rsid w:val="0AC232D9"/>
    <w:rsid w:val="0ACD76E7"/>
    <w:rsid w:val="0B273AD6"/>
    <w:rsid w:val="0B673593"/>
    <w:rsid w:val="0B73FF40"/>
    <w:rsid w:val="0B77514C"/>
    <w:rsid w:val="0BBE1BA0"/>
    <w:rsid w:val="0C074076"/>
    <w:rsid w:val="0C1E32B1"/>
    <w:rsid w:val="0C9B3C30"/>
    <w:rsid w:val="0DC1725B"/>
    <w:rsid w:val="0E295B82"/>
    <w:rsid w:val="0EED1247"/>
    <w:rsid w:val="0F75D903"/>
    <w:rsid w:val="0FBD1DC3"/>
    <w:rsid w:val="0FFA00C0"/>
    <w:rsid w:val="0FFF247C"/>
    <w:rsid w:val="0FFF6E09"/>
    <w:rsid w:val="10C7504F"/>
    <w:rsid w:val="112C50D7"/>
    <w:rsid w:val="11560F71"/>
    <w:rsid w:val="117EC219"/>
    <w:rsid w:val="11C314B3"/>
    <w:rsid w:val="126B7053"/>
    <w:rsid w:val="136417B1"/>
    <w:rsid w:val="13FF3EF7"/>
    <w:rsid w:val="1498645A"/>
    <w:rsid w:val="14A15073"/>
    <w:rsid w:val="15BC3411"/>
    <w:rsid w:val="15C9283F"/>
    <w:rsid w:val="15D93FD3"/>
    <w:rsid w:val="15DDD8D1"/>
    <w:rsid w:val="15EA4F64"/>
    <w:rsid w:val="164E5475"/>
    <w:rsid w:val="165D73F9"/>
    <w:rsid w:val="16757429"/>
    <w:rsid w:val="16B83747"/>
    <w:rsid w:val="16B94DA3"/>
    <w:rsid w:val="170A6533"/>
    <w:rsid w:val="18EBAF5C"/>
    <w:rsid w:val="199E7D0E"/>
    <w:rsid w:val="1ADD6614"/>
    <w:rsid w:val="1C1425F4"/>
    <w:rsid w:val="1CA1494D"/>
    <w:rsid w:val="1CB96CDF"/>
    <w:rsid w:val="1D3DA8CD"/>
    <w:rsid w:val="1D79192A"/>
    <w:rsid w:val="1D9B5AF7"/>
    <w:rsid w:val="1DDE6490"/>
    <w:rsid w:val="1DF0665E"/>
    <w:rsid w:val="1DFBDB46"/>
    <w:rsid w:val="1E35C64F"/>
    <w:rsid w:val="1E4470D6"/>
    <w:rsid w:val="1E75D4C9"/>
    <w:rsid w:val="1ECAB2F6"/>
    <w:rsid w:val="1ED551F2"/>
    <w:rsid w:val="1F5A6485"/>
    <w:rsid w:val="1F7B7EED"/>
    <w:rsid w:val="1F9333C8"/>
    <w:rsid w:val="1FBFE588"/>
    <w:rsid w:val="1FD224BF"/>
    <w:rsid w:val="1FD74489"/>
    <w:rsid w:val="1FF95C9E"/>
    <w:rsid w:val="204C2272"/>
    <w:rsid w:val="20724974"/>
    <w:rsid w:val="20D858B3"/>
    <w:rsid w:val="215C4736"/>
    <w:rsid w:val="219D0D4A"/>
    <w:rsid w:val="21EF7ACD"/>
    <w:rsid w:val="22BA4D7B"/>
    <w:rsid w:val="237A70F6"/>
    <w:rsid w:val="239D182C"/>
    <w:rsid w:val="24AA475C"/>
    <w:rsid w:val="24E94533"/>
    <w:rsid w:val="25311A36"/>
    <w:rsid w:val="25566A31"/>
    <w:rsid w:val="25B33753"/>
    <w:rsid w:val="26A30712"/>
    <w:rsid w:val="270A0992"/>
    <w:rsid w:val="27CFB959"/>
    <w:rsid w:val="27FF8215"/>
    <w:rsid w:val="294E4BC1"/>
    <w:rsid w:val="2A49282A"/>
    <w:rsid w:val="2AF62F52"/>
    <w:rsid w:val="2B4F29BE"/>
    <w:rsid w:val="2BB26EA9"/>
    <w:rsid w:val="2BD01C52"/>
    <w:rsid w:val="2BF747B5"/>
    <w:rsid w:val="2CBE100D"/>
    <w:rsid w:val="2DBE5C85"/>
    <w:rsid w:val="2DD712FF"/>
    <w:rsid w:val="2DE82B1D"/>
    <w:rsid w:val="2DFB0AB3"/>
    <w:rsid w:val="2E3D2EAD"/>
    <w:rsid w:val="2E3F6F72"/>
    <w:rsid w:val="2E75736B"/>
    <w:rsid w:val="2F0715AB"/>
    <w:rsid w:val="2F3565C7"/>
    <w:rsid w:val="2F5F11FD"/>
    <w:rsid w:val="2FAF6A44"/>
    <w:rsid w:val="2FAF757F"/>
    <w:rsid w:val="2FCD47F7"/>
    <w:rsid w:val="2FD63906"/>
    <w:rsid w:val="2FDEAF64"/>
    <w:rsid w:val="2FF60AF1"/>
    <w:rsid w:val="3081343B"/>
    <w:rsid w:val="317B7D28"/>
    <w:rsid w:val="324B718F"/>
    <w:rsid w:val="32582CF8"/>
    <w:rsid w:val="326A47D9"/>
    <w:rsid w:val="32965060"/>
    <w:rsid w:val="3402498B"/>
    <w:rsid w:val="343B75F5"/>
    <w:rsid w:val="34833B90"/>
    <w:rsid w:val="34F54A0D"/>
    <w:rsid w:val="351D523D"/>
    <w:rsid w:val="35523A2F"/>
    <w:rsid w:val="361262E3"/>
    <w:rsid w:val="36575075"/>
    <w:rsid w:val="36AC3612"/>
    <w:rsid w:val="36ED0206"/>
    <w:rsid w:val="37192B91"/>
    <w:rsid w:val="377F0654"/>
    <w:rsid w:val="37E349D6"/>
    <w:rsid w:val="37EF7065"/>
    <w:rsid w:val="386C7DF1"/>
    <w:rsid w:val="388B6291"/>
    <w:rsid w:val="395F496C"/>
    <w:rsid w:val="39DB5F98"/>
    <w:rsid w:val="3A161F8C"/>
    <w:rsid w:val="3AB71925"/>
    <w:rsid w:val="3B735692"/>
    <w:rsid w:val="3B7F1760"/>
    <w:rsid w:val="3BB9B7BD"/>
    <w:rsid w:val="3BEF4C0E"/>
    <w:rsid w:val="3BF3F24A"/>
    <w:rsid w:val="3BF5350C"/>
    <w:rsid w:val="3BFEFEF9"/>
    <w:rsid w:val="3C7AAFF2"/>
    <w:rsid w:val="3C9A513B"/>
    <w:rsid w:val="3CA37112"/>
    <w:rsid w:val="3CBA07BD"/>
    <w:rsid w:val="3CC9393C"/>
    <w:rsid w:val="3D3D42E2"/>
    <w:rsid w:val="3D710780"/>
    <w:rsid w:val="3D7F07D1"/>
    <w:rsid w:val="3D9F3E7C"/>
    <w:rsid w:val="3DBAABFA"/>
    <w:rsid w:val="3DD3B915"/>
    <w:rsid w:val="3DDF6D1D"/>
    <w:rsid w:val="3DEE3528"/>
    <w:rsid w:val="3E797F25"/>
    <w:rsid w:val="3E9B5BDC"/>
    <w:rsid w:val="3EB39C7B"/>
    <w:rsid w:val="3F092439"/>
    <w:rsid w:val="3F3F33DC"/>
    <w:rsid w:val="3F5FD5D8"/>
    <w:rsid w:val="3F6FE39B"/>
    <w:rsid w:val="3F7F334B"/>
    <w:rsid w:val="3FB18F2D"/>
    <w:rsid w:val="3FB19C0B"/>
    <w:rsid w:val="3FC01EDD"/>
    <w:rsid w:val="3FCD5909"/>
    <w:rsid w:val="3FD0083A"/>
    <w:rsid w:val="3FD5C46A"/>
    <w:rsid w:val="3FD7D691"/>
    <w:rsid w:val="3FDC5FB4"/>
    <w:rsid w:val="3FDD77F0"/>
    <w:rsid w:val="3FDF1888"/>
    <w:rsid w:val="3FE7DC1D"/>
    <w:rsid w:val="3FF65413"/>
    <w:rsid w:val="3FF79F40"/>
    <w:rsid w:val="3FF9B773"/>
    <w:rsid w:val="3FFDA76B"/>
    <w:rsid w:val="3FFEAB9B"/>
    <w:rsid w:val="3FFF3FE0"/>
    <w:rsid w:val="40185875"/>
    <w:rsid w:val="40916EBD"/>
    <w:rsid w:val="40AE38FB"/>
    <w:rsid w:val="40FC622F"/>
    <w:rsid w:val="41EF4D3D"/>
    <w:rsid w:val="424E37D0"/>
    <w:rsid w:val="428B3415"/>
    <w:rsid w:val="42DF25F2"/>
    <w:rsid w:val="434F4931"/>
    <w:rsid w:val="439E353F"/>
    <w:rsid w:val="43AF5151"/>
    <w:rsid w:val="43D345B3"/>
    <w:rsid w:val="444366F0"/>
    <w:rsid w:val="453C76F4"/>
    <w:rsid w:val="454D9D7A"/>
    <w:rsid w:val="45FFEEEE"/>
    <w:rsid w:val="46720BD5"/>
    <w:rsid w:val="46896345"/>
    <w:rsid w:val="47060B1D"/>
    <w:rsid w:val="47486FA2"/>
    <w:rsid w:val="47F1D3CB"/>
    <w:rsid w:val="48B819A3"/>
    <w:rsid w:val="48DF402C"/>
    <w:rsid w:val="48EA3ACA"/>
    <w:rsid w:val="49134F46"/>
    <w:rsid w:val="4933371F"/>
    <w:rsid w:val="4A1C27C4"/>
    <w:rsid w:val="4AC07235"/>
    <w:rsid w:val="4AFF770A"/>
    <w:rsid w:val="4B23636E"/>
    <w:rsid w:val="4B7B1DAF"/>
    <w:rsid w:val="4C452B33"/>
    <w:rsid w:val="4C5639AD"/>
    <w:rsid w:val="4CF73D02"/>
    <w:rsid w:val="4CFB09F8"/>
    <w:rsid w:val="4CFF4977"/>
    <w:rsid w:val="4D3EF657"/>
    <w:rsid w:val="4DC64377"/>
    <w:rsid w:val="4DF547DC"/>
    <w:rsid w:val="4E1E7C1B"/>
    <w:rsid w:val="4E30647F"/>
    <w:rsid w:val="4E3B95EB"/>
    <w:rsid w:val="4EDDFBF9"/>
    <w:rsid w:val="4EE274A2"/>
    <w:rsid w:val="4F195165"/>
    <w:rsid w:val="4F726F19"/>
    <w:rsid w:val="4F768754"/>
    <w:rsid w:val="4F7E1BFB"/>
    <w:rsid w:val="4F7E3798"/>
    <w:rsid w:val="4F7F6A2A"/>
    <w:rsid w:val="4FBC1079"/>
    <w:rsid w:val="4FC30FBB"/>
    <w:rsid w:val="4FCB2904"/>
    <w:rsid w:val="4FFC5B82"/>
    <w:rsid w:val="4FFF863D"/>
    <w:rsid w:val="5060283B"/>
    <w:rsid w:val="52205A03"/>
    <w:rsid w:val="524E0852"/>
    <w:rsid w:val="52542B28"/>
    <w:rsid w:val="52F703CB"/>
    <w:rsid w:val="53784B50"/>
    <w:rsid w:val="53897FB5"/>
    <w:rsid w:val="538A6632"/>
    <w:rsid w:val="53E932F0"/>
    <w:rsid w:val="54592FF9"/>
    <w:rsid w:val="54970733"/>
    <w:rsid w:val="54F5082C"/>
    <w:rsid w:val="55722296"/>
    <w:rsid w:val="55B3418B"/>
    <w:rsid w:val="55DDE7C0"/>
    <w:rsid w:val="564B20A8"/>
    <w:rsid w:val="56FE63C1"/>
    <w:rsid w:val="56FEA926"/>
    <w:rsid w:val="576A46B7"/>
    <w:rsid w:val="577D081A"/>
    <w:rsid w:val="579E061E"/>
    <w:rsid w:val="57A974B6"/>
    <w:rsid w:val="57DEA472"/>
    <w:rsid w:val="57F3D27A"/>
    <w:rsid w:val="583F5C3D"/>
    <w:rsid w:val="585B234B"/>
    <w:rsid w:val="586EC67F"/>
    <w:rsid w:val="58D42829"/>
    <w:rsid w:val="58F17AA6"/>
    <w:rsid w:val="59611F42"/>
    <w:rsid w:val="5A0C7DA1"/>
    <w:rsid w:val="5A1F2402"/>
    <w:rsid w:val="5A6123C9"/>
    <w:rsid w:val="5AE34FA5"/>
    <w:rsid w:val="5AEF9432"/>
    <w:rsid w:val="5AF078C5"/>
    <w:rsid w:val="5AFF4B8C"/>
    <w:rsid w:val="5B1419A0"/>
    <w:rsid w:val="5B3F7C71"/>
    <w:rsid w:val="5B9D71D3"/>
    <w:rsid w:val="5B9EFD80"/>
    <w:rsid w:val="5BD7EB1A"/>
    <w:rsid w:val="5BE55D1C"/>
    <w:rsid w:val="5BEF6723"/>
    <w:rsid w:val="5BFB6A52"/>
    <w:rsid w:val="5BFF5360"/>
    <w:rsid w:val="5BFF615C"/>
    <w:rsid w:val="5C032D84"/>
    <w:rsid w:val="5C2B0EA3"/>
    <w:rsid w:val="5C2B1F0F"/>
    <w:rsid w:val="5C5F9504"/>
    <w:rsid w:val="5CAC9474"/>
    <w:rsid w:val="5CB05DD9"/>
    <w:rsid w:val="5CFE6FCB"/>
    <w:rsid w:val="5CFF1E3E"/>
    <w:rsid w:val="5D1968BC"/>
    <w:rsid w:val="5D7F1831"/>
    <w:rsid w:val="5D857DD8"/>
    <w:rsid w:val="5DBBB02B"/>
    <w:rsid w:val="5DDB41FE"/>
    <w:rsid w:val="5E190CDE"/>
    <w:rsid w:val="5F3215AC"/>
    <w:rsid w:val="5F5064A5"/>
    <w:rsid w:val="5F5A7DEB"/>
    <w:rsid w:val="5F6DF04B"/>
    <w:rsid w:val="5F700DD2"/>
    <w:rsid w:val="5F7B5569"/>
    <w:rsid w:val="5F82C580"/>
    <w:rsid w:val="5F8FE714"/>
    <w:rsid w:val="5FB76759"/>
    <w:rsid w:val="5FDD11A2"/>
    <w:rsid w:val="5FDE68E5"/>
    <w:rsid w:val="5FEBE103"/>
    <w:rsid w:val="5FEFB29D"/>
    <w:rsid w:val="5FFC7315"/>
    <w:rsid w:val="5FFF3E30"/>
    <w:rsid w:val="5FFF865C"/>
    <w:rsid w:val="60C412AD"/>
    <w:rsid w:val="60E2185B"/>
    <w:rsid w:val="611D2141"/>
    <w:rsid w:val="61EA4E6B"/>
    <w:rsid w:val="62562501"/>
    <w:rsid w:val="625F2D6D"/>
    <w:rsid w:val="62D84CC4"/>
    <w:rsid w:val="62E14A95"/>
    <w:rsid w:val="63CB4828"/>
    <w:rsid w:val="63F4D63F"/>
    <w:rsid w:val="64226BB0"/>
    <w:rsid w:val="646A0425"/>
    <w:rsid w:val="64C67100"/>
    <w:rsid w:val="64F62EA7"/>
    <w:rsid w:val="65897B2B"/>
    <w:rsid w:val="669D74D2"/>
    <w:rsid w:val="66C145A2"/>
    <w:rsid w:val="67452E4F"/>
    <w:rsid w:val="67C91B44"/>
    <w:rsid w:val="67CF04D5"/>
    <w:rsid w:val="67ED6320"/>
    <w:rsid w:val="687F47EC"/>
    <w:rsid w:val="68B26F25"/>
    <w:rsid w:val="68CEAEBB"/>
    <w:rsid w:val="68F72293"/>
    <w:rsid w:val="69EDECF8"/>
    <w:rsid w:val="69F713DF"/>
    <w:rsid w:val="6A217104"/>
    <w:rsid w:val="6AA7186A"/>
    <w:rsid w:val="6AC54CCA"/>
    <w:rsid w:val="6AD710FC"/>
    <w:rsid w:val="6B484184"/>
    <w:rsid w:val="6B543D2A"/>
    <w:rsid w:val="6B771317"/>
    <w:rsid w:val="6B77442A"/>
    <w:rsid w:val="6B7E55C6"/>
    <w:rsid w:val="6BEF99A5"/>
    <w:rsid w:val="6BF6EA54"/>
    <w:rsid w:val="6BFEEBE2"/>
    <w:rsid w:val="6BFF6CDA"/>
    <w:rsid w:val="6BFF8BAC"/>
    <w:rsid w:val="6C110C0F"/>
    <w:rsid w:val="6CFA7F2C"/>
    <w:rsid w:val="6D910891"/>
    <w:rsid w:val="6DAFF2DA"/>
    <w:rsid w:val="6DDFEF46"/>
    <w:rsid w:val="6E0163ED"/>
    <w:rsid w:val="6E3851B0"/>
    <w:rsid w:val="6E7DF92F"/>
    <w:rsid w:val="6E980CC1"/>
    <w:rsid w:val="6EBB79A1"/>
    <w:rsid w:val="6EC32B64"/>
    <w:rsid w:val="6F2F5692"/>
    <w:rsid w:val="6F3FD9A5"/>
    <w:rsid w:val="6F431D3C"/>
    <w:rsid w:val="6F9666F7"/>
    <w:rsid w:val="6F9F18A3"/>
    <w:rsid w:val="6FA7C4FD"/>
    <w:rsid w:val="6FB7F33A"/>
    <w:rsid w:val="6FC82564"/>
    <w:rsid w:val="6FCCC37F"/>
    <w:rsid w:val="6FDF06A4"/>
    <w:rsid w:val="6FF9F83A"/>
    <w:rsid w:val="6FFB764E"/>
    <w:rsid w:val="6FFF3D63"/>
    <w:rsid w:val="703B51C1"/>
    <w:rsid w:val="711EE047"/>
    <w:rsid w:val="716B13F9"/>
    <w:rsid w:val="717F4D14"/>
    <w:rsid w:val="719B87E2"/>
    <w:rsid w:val="71BF982C"/>
    <w:rsid w:val="71EF3FF7"/>
    <w:rsid w:val="71FB6501"/>
    <w:rsid w:val="72AF0303"/>
    <w:rsid w:val="72CAABEA"/>
    <w:rsid w:val="72D37256"/>
    <w:rsid w:val="72E17BC5"/>
    <w:rsid w:val="72EB3377"/>
    <w:rsid w:val="73025627"/>
    <w:rsid w:val="7347F938"/>
    <w:rsid w:val="7367E180"/>
    <w:rsid w:val="736D4B02"/>
    <w:rsid w:val="73BF42BD"/>
    <w:rsid w:val="73BFA9D5"/>
    <w:rsid w:val="73DA13E5"/>
    <w:rsid w:val="73E350DA"/>
    <w:rsid w:val="73EB4737"/>
    <w:rsid w:val="74BD364F"/>
    <w:rsid w:val="74F71921"/>
    <w:rsid w:val="75647B92"/>
    <w:rsid w:val="75E19DEC"/>
    <w:rsid w:val="75F688A2"/>
    <w:rsid w:val="75FCD104"/>
    <w:rsid w:val="76082C27"/>
    <w:rsid w:val="76264C32"/>
    <w:rsid w:val="763435E2"/>
    <w:rsid w:val="763700B4"/>
    <w:rsid w:val="76379CC6"/>
    <w:rsid w:val="763E70DC"/>
    <w:rsid w:val="76B66CF7"/>
    <w:rsid w:val="76B86406"/>
    <w:rsid w:val="76DB3819"/>
    <w:rsid w:val="76E73DF2"/>
    <w:rsid w:val="774D54F1"/>
    <w:rsid w:val="777F580E"/>
    <w:rsid w:val="77BF11E3"/>
    <w:rsid w:val="77BF3108"/>
    <w:rsid w:val="77C11D73"/>
    <w:rsid w:val="77EFA59A"/>
    <w:rsid w:val="77F626F4"/>
    <w:rsid w:val="77F7D9E3"/>
    <w:rsid w:val="77FD831B"/>
    <w:rsid w:val="77FDCF9C"/>
    <w:rsid w:val="781F7E50"/>
    <w:rsid w:val="7850314D"/>
    <w:rsid w:val="78799EE8"/>
    <w:rsid w:val="78A235FD"/>
    <w:rsid w:val="78BA1942"/>
    <w:rsid w:val="78FD1E33"/>
    <w:rsid w:val="78FF90B3"/>
    <w:rsid w:val="79701422"/>
    <w:rsid w:val="79951A24"/>
    <w:rsid w:val="7A514DE8"/>
    <w:rsid w:val="7A5C6321"/>
    <w:rsid w:val="7A860CDC"/>
    <w:rsid w:val="7A93F71C"/>
    <w:rsid w:val="7ACA7190"/>
    <w:rsid w:val="7AD718AD"/>
    <w:rsid w:val="7ADEDF72"/>
    <w:rsid w:val="7AF7B073"/>
    <w:rsid w:val="7B4B76D6"/>
    <w:rsid w:val="7B5B428C"/>
    <w:rsid w:val="7B5F22DE"/>
    <w:rsid w:val="7B615D46"/>
    <w:rsid w:val="7B7D885A"/>
    <w:rsid w:val="7BB45D7C"/>
    <w:rsid w:val="7BB73170"/>
    <w:rsid w:val="7BBF0BB4"/>
    <w:rsid w:val="7BDA1655"/>
    <w:rsid w:val="7BE527D1"/>
    <w:rsid w:val="7BE97AEA"/>
    <w:rsid w:val="7BED9441"/>
    <w:rsid w:val="7BEEB90E"/>
    <w:rsid w:val="7BF5D9A7"/>
    <w:rsid w:val="7BFE7793"/>
    <w:rsid w:val="7BFF2E3C"/>
    <w:rsid w:val="7BFF830B"/>
    <w:rsid w:val="7C012B58"/>
    <w:rsid w:val="7C6E04F7"/>
    <w:rsid w:val="7C920181"/>
    <w:rsid w:val="7C99467F"/>
    <w:rsid w:val="7CB93960"/>
    <w:rsid w:val="7CBFE0E3"/>
    <w:rsid w:val="7D2C2AE8"/>
    <w:rsid w:val="7D3FC2D4"/>
    <w:rsid w:val="7D473F98"/>
    <w:rsid w:val="7D77DCCF"/>
    <w:rsid w:val="7D7B4F50"/>
    <w:rsid w:val="7DAFD551"/>
    <w:rsid w:val="7DC1A1F3"/>
    <w:rsid w:val="7DCE5CD7"/>
    <w:rsid w:val="7DE74E05"/>
    <w:rsid w:val="7DF3DB35"/>
    <w:rsid w:val="7DFD6011"/>
    <w:rsid w:val="7DFF9D4C"/>
    <w:rsid w:val="7E6A5B60"/>
    <w:rsid w:val="7E7FE91F"/>
    <w:rsid w:val="7E84DBBD"/>
    <w:rsid w:val="7E9CD120"/>
    <w:rsid w:val="7EA47CF8"/>
    <w:rsid w:val="7EE7B57F"/>
    <w:rsid w:val="7EE8B6AE"/>
    <w:rsid w:val="7EE991AB"/>
    <w:rsid w:val="7EEC65FE"/>
    <w:rsid w:val="7EF94AD2"/>
    <w:rsid w:val="7EFE9CA5"/>
    <w:rsid w:val="7F1EF211"/>
    <w:rsid w:val="7F2034EE"/>
    <w:rsid w:val="7F3735A7"/>
    <w:rsid w:val="7F59EF6C"/>
    <w:rsid w:val="7F6F47AA"/>
    <w:rsid w:val="7F77E1EE"/>
    <w:rsid w:val="7F7B56FC"/>
    <w:rsid w:val="7F8B8168"/>
    <w:rsid w:val="7F985801"/>
    <w:rsid w:val="7FADE355"/>
    <w:rsid w:val="7FBBEF18"/>
    <w:rsid w:val="7FBCAB93"/>
    <w:rsid w:val="7FBD89EF"/>
    <w:rsid w:val="7FBE5719"/>
    <w:rsid w:val="7FBF0467"/>
    <w:rsid w:val="7FBFAB5A"/>
    <w:rsid w:val="7FCC20D0"/>
    <w:rsid w:val="7FCF6EE7"/>
    <w:rsid w:val="7FD50095"/>
    <w:rsid w:val="7FD97C1C"/>
    <w:rsid w:val="7FDB2666"/>
    <w:rsid w:val="7FDBD471"/>
    <w:rsid w:val="7FDF33CA"/>
    <w:rsid w:val="7FE72E89"/>
    <w:rsid w:val="7FEB4041"/>
    <w:rsid w:val="7FEB708E"/>
    <w:rsid w:val="7FEB821B"/>
    <w:rsid w:val="7FEF6350"/>
    <w:rsid w:val="7FF3053B"/>
    <w:rsid w:val="7FF5596D"/>
    <w:rsid w:val="7FF67418"/>
    <w:rsid w:val="7FFB03AD"/>
    <w:rsid w:val="7FFB1443"/>
    <w:rsid w:val="7FFBA7C3"/>
    <w:rsid w:val="7FFD069D"/>
    <w:rsid w:val="7FFEA3D2"/>
    <w:rsid w:val="7FFECB08"/>
    <w:rsid w:val="7FFF13CF"/>
    <w:rsid w:val="859F3DB3"/>
    <w:rsid w:val="8C573B68"/>
    <w:rsid w:val="8EFF7436"/>
    <w:rsid w:val="8F764C35"/>
    <w:rsid w:val="8FEBDA61"/>
    <w:rsid w:val="8FFE7575"/>
    <w:rsid w:val="93FBF330"/>
    <w:rsid w:val="9B6F65F8"/>
    <w:rsid w:val="9D5F5E16"/>
    <w:rsid w:val="9DBB01E9"/>
    <w:rsid w:val="9DBF702D"/>
    <w:rsid w:val="9F37F346"/>
    <w:rsid w:val="9FAFE3FF"/>
    <w:rsid w:val="9FBF0447"/>
    <w:rsid w:val="9FE48513"/>
    <w:rsid w:val="9FFC9DBF"/>
    <w:rsid w:val="A31773D8"/>
    <w:rsid w:val="A5EFAC72"/>
    <w:rsid w:val="A6FFD79B"/>
    <w:rsid w:val="AD66A542"/>
    <w:rsid w:val="ADBD4DBB"/>
    <w:rsid w:val="ADBEFA07"/>
    <w:rsid w:val="ADCFBD70"/>
    <w:rsid w:val="ADFFE59E"/>
    <w:rsid w:val="AF2D4583"/>
    <w:rsid w:val="AF46D8BD"/>
    <w:rsid w:val="AF53079B"/>
    <w:rsid w:val="AFAF2953"/>
    <w:rsid w:val="B3B9EFC8"/>
    <w:rsid w:val="B3DF265E"/>
    <w:rsid w:val="B49E70B8"/>
    <w:rsid w:val="B4D9BF36"/>
    <w:rsid w:val="B73F3E0E"/>
    <w:rsid w:val="B77BF60C"/>
    <w:rsid w:val="B7AD90CE"/>
    <w:rsid w:val="B7AF78BC"/>
    <w:rsid w:val="B7F2069D"/>
    <w:rsid w:val="B7FA4C08"/>
    <w:rsid w:val="B7FD5D40"/>
    <w:rsid w:val="B95E56C2"/>
    <w:rsid w:val="B9732DDE"/>
    <w:rsid w:val="B9DE37C7"/>
    <w:rsid w:val="B9EFC805"/>
    <w:rsid w:val="B9FF058E"/>
    <w:rsid w:val="B9FFBF7C"/>
    <w:rsid w:val="BADFA511"/>
    <w:rsid w:val="BAEF7061"/>
    <w:rsid w:val="BB36AD4B"/>
    <w:rsid w:val="BB9F2B78"/>
    <w:rsid w:val="BBFFCB6A"/>
    <w:rsid w:val="BCFE3FEF"/>
    <w:rsid w:val="BD76BF15"/>
    <w:rsid w:val="BD7D6F6E"/>
    <w:rsid w:val="BDFD1443"/>
    <w:rsid w:val="BDFD6E6D"/>
    <w:rsid w:val="BDFFC625"/>
    <w:rsid w:val="BDFFDDF9"/>
    <w:rsid w:val="BE8F178C"/>
    <w:rsid w:val="BEAB6A97"/>
    <w:rsid w:val="BEC647EE"/>
    <w:rsid w:val="BEEEA9B6"/>
    <w:rsid w:val="BEF748F0"/>
    <w:rsid w:val="BEFFC12D"/>
    <w:rsid w:val="BEFFE0C5"/>
    <w:rsid w:val="BF476CED"/>
    <w:rsid w:val="BF4EA8E3"/>
    <w:rsid w:val="BF5B808E"/>
    <w:rsid w:val="BF7DD631"/>
    <w:rsid w:val="BF7E4661"/>
    <w:rsid w:val="BF9F3DCA"/>
    <w:rsid w:val="BF9FF555"/>
    <w:rsid w:val="BFC7F0B1"/>
    <w:rsid w:val="BFDB0C03"/>
    <w:rsid w:val="BFDB2459"/>
    <w:rsid w:val="BFDF0066"/>
    <w:rsid w:val="BFDF0FBC"/>
    <w:rsid w:val="BFEE6430"/>
    <w:rsid w:val="BFFC6B3F"/>
    <w:rsid w:val="BFFD79AF"/>
    <w:rsid w:val="BFFDB191"/>
    <w:rsid w:val="BFFFBE8D"/>
    <w:rsid w:val="C3CB46BC"/>
    <w:rsid w:val="C4FFA2A5"/>
    <w:rsid w:val="C9C72F39"/>
    <w:rsid w:val="CB0F8229"/>
    <w:rsid w:val="CBC95144"/>
    <w:rsid w:val="CCEFB16A"/>
    <w:rsid w:val="CDFD8EAF"/>
    <w:rsid w:val="CEFD329B"/>
    <w:rsid w:val="CEFEF022"/>
    <w:rsid w:val="CFF79BF6"/>
    <w:rsid w:val="D2FFEC18"/>
    <w:rsid w:val="D7AED6CD"/>
    <w:rsid w:val="D7DA7F99"/>
    <w:rsid w:val="D7F40606"/>
    <w:rsid w:val="D7FB63EE"/>
    <w:rsid w:val="D96F35E6"/>
    <w:rsid w:val="DABFA225"/>
    <w:rsid w:val="DAD6D029"/>
    <w:rsid w:val="DBBBDBED"/>
    <w:rsid w:val="DBFD175A"/>
    <w:rsid w:val="DCEB4F5A"/>
    <w:rsid w:val="DD9FAC6D"/>
    <w:rsid w:val="DDF295C8"/>
    <w:rsid w:val="DDFBF07E"/>
    <w:rsid w:val="DDFF0596"/>
    <w:rsid w:val="DEEFF491"/>
    <w:rsid w:val="DEF247CC"/>
    <w:rsid w:val="DF7FFF40"/>
    <w:rsid w:val="DFBDCA1D"/>
    <w:rsid w:val="DFBF2A45"/>
    <w:rsid w:val="DFF20230"/>
    <w:rsid w:val="DFF7FDF2"/>
    <w:rsid w:val="DFF9CD26"/>
    <w:rsid w:val="E2F70D79"/>
    <w:rsid w:val="E3D400F1"/>
    <w:rsid w:val="E4D92FD0"/>
    <w:rsid w:val="E5E78642"/>
    <w:rsid w:val="E5F29225"/>
    <w:rsid w:val="E65EEC5E"/>
    <w:rsid w:val="E6957586"/>
    <w:rsid w:val="E6EA1FB2"/>
    <w:rsid w:val="E77FD30E"/>
    <w:rsid w:val="E79F1190"/>
    <w:rsid w:val="E7B3B82C"/>
    <w:rsid w:val="E7DFB7C2"/>
    <w:rsid w:val="E7F7FE5C"/>
    <w:rsid w:val="E9BF9305"/>
    <w:rsid w:val="E9EBA38F"/>
    <w:rsid w:val="EAFF46DC"/>
    <w:rsid w:val="EBDF2263"/>
    <w:rsid w:val="EBE61E78"/>
    <w:rsid w:val="EBFF76BE"/>
    <w:rsid w:val="ECE5B777"/>
    <w:rsid w:val="EDC53A91"/>
    <w:rsid w:val="EDEB8753"/>
    <w:rsid w:val="EDF70F19"/>
    <w:rsid w:val="EDFFAF14"/>
    <w:rsid w:val="EE7FFA1F"/>
    <w:rsid w:val="EEFF5835"/>
    <w:rsid w:val="EF1346F7"/>
    <w:rsid w:val="EF76C12C"/>
    <w:rsid w:val="EF7E0B52"/>
    <w:rsid w:val="EFAF6928"/>
    <w:rsid w:val="EFBAAFCE"/>
    <w:rsid w:val="EFBBFF0E"/>
    <w:rsid w:val="EFC4B093"/>
    <w:rsid w:val="EFD719C1"/>
    <w:rsid w:val="EFEBE1B5"/>
    <w:rsid w:val="EFEE603E"/>
    <w:rsid w:val="EFFA7F2F"/>
    <w:rsid w:val="EFFB709C"/>
    <w:rsid w:val="EFFD2A87"/>
    <w:rsid w:val="EFFFF617"/>
    <w:rsid w:val="F17E82B5"/>
    <w:rsid w:val="F27DC32A"/>
    <w:rsid w:val="F2DD8917"/>
    <w:rsid w:val="F3FFAB8D"/>
    <w:rsid w:val="F43B7015"/>
    <w:rsid w:val="F48F51A7"/>
    <w:rsid w:val="F51B7C07"/>
    <w:rsid w:val="F5D38499"/>
    <w:rsid w:val="F5DD5F1E"/>
    <w:rsid w:val="F63BE020"/>
    <w:rsid w:val="F67E32DD"/>
    <w:rsid w:val="F6CFB581"/>
    <w:rsid w:val="F6EF6690"/>
    <w:rsid w:val="F6F5CED9"/>
    <w:rsid w:val="F6F77503"/>
    <w:rsid w:val="F72FFE3B"/>
    <w:rsid w:val="F75AD670"/>
    <w:rsid w:val="F77BC646"/>
    <w:rsid w:val="F7D717DC"/>
    <w:rsid w:val="F7D933B5"/>
    <w:rsid w:val="F7DFAA06"/>
    <w:rsid w:val="F7FD8CDC"/>
    <w:rsid w:val="F925A336"/>
    <w:rsid w:val="F937D580"/>
    <w:rsid w:val="F95DA14F"/>
    <w:rsid w:val="F9A1AC6D"/>
    <w:rsid w:val="F9BA3041"/>
    <w:rsid w:val="FA6EA4A1"/>
    <w:rsid w:val="FADBE024"/>
    <w:rsid w:val="FAFF0B58"/>
    <w:rsid w:val="FB71FB6A"/>
    <w:rsid w:val="FB79D146"/>
    <w:rsid w:val="FB7A4E3E"/>
    <w:rsid w:val="FB7F4530"/>
    <w:rsid w:val="FB7FE675"/>
    <w:rsid w:val="FB9F789E"/>
    <w:rsid w:val="FBB12180"/>
    <w:rsid w:val="FBB68A6F"/>
    <w:rsid w:val="FBD80B3D"/>
    <w:rsid w:val="FBEEE2A3"/>
    <w:rsid w:val="FBEF2076"/>
    <w:rsid w:val="FD37BA00"/>
    <w:rsid w:val="FD57EB38"/>
    <w:rsid w:val="FD593784"/>
    <w:rsid w:val="FD753439"/>
    <w:rsid w:val="FD7FBBD8"/>
    <w:rsid w:val="FD8CC830"/>
    <w:rsid w:val="FDB78041"/>
    <w:rsid w:val="FDCDB35D"/>
    <w:rsid w:val="FDCF646E"/>
    <w:rsid w:val="FDEFFE25"/>
    <w:rsid w:val="FDF36A70"/>
    <w:rsid w:val="FE6D7293"/>
    <w:rsid w:val="FE766898"/>
    <w:rsid w:val="FE7DC1C0"/>
    <w:rsid w:val="FE7DD858"/>
    <w:rsid w:val="FE7F990F"/>
    <w:rsid w:val="FEBDF4B0"/>
    <w:rsid w:val="FEBE3B01"/>
    <w:rsid w:val="FEF196CC"/>
    <w:rsid w:val="FEF6F5CC"/>
    <w:rsid w:val="FEFABFA1"/>
    <w:rsid w:val="FEFEF1F2"/>
    <w:rsid w:val="FEFFE8FB"/>
    <w:rsid w:val="FF0F117C"/>
    <w:rsid w:val="FF37D881"/>
    <w:rsid w:val="FF77B5FB"/>
    <w:rsid w:val="FF7E770F"/>
    <w:rsid w:val="FFAFE6E9"/>
    <w:rsid w:val="FFB729D6"/>
    <w:rsid w:val="FFBD3F57"/>
    <w:rsid w:val="FFBE2D77"/>
    <w:rsid w:val="FFBF4E5D"/>
    <w:rsid w:val="FFCD4F64"/>
    <w:rsid w:val="FFCDFBFC"/>
    <w:rsid w:val="FFCE70B5"/>
    <w:rsid w:val="FFCEAE45"/>
    <w:rsid w:val="FFD4145C"/>
    <w:rsid w:val="FFDB4F44"/>
    <w:rsid w:val="FFDF11EC"/>
    <w:rsid w:val="FFEF1E2C"/>
    <w:rsid w:val="FFEF6FD4"/>
    <w:rsid w:val="FFFA2D9D"/>
    <w:rsid w:val="FFFBBD6C"/>
    <w:rsid w:val="FFFDD2A8"/>
    <w:rsid w:val="FFFE0B27"/>
    <w:rsid w:val="FFFF2A72"/>
    <w:rsid w:val="FFFF4ADB"/>
    <w:rsid w:val="FFFF4ED2"/>
    <w:rsid w:val="FFFF8774"/>
    <w:rsid w:val="FFFFBC1E"/>
    <w:rsid w:val="FFFFD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5">
    <w:name w:val="heading 2"/>
    <w:next w:val="1"/>
    <w:link w:val="26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6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2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4">
    <w:name w:val="Default Paragraph Font"/>
    <w:semiHidden/>
    <w:qFormat/>
    <w:uiPriority w:val="0"/>
  </w:style>
  <w:style w:type="table" w:default="1" w:styleId="2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0"/>
    <w:pPr>
      <w:spacing w:after="120" w:afterLines="0"/>
      <w:ind w:left="420" w:leftChars="200" w:firstLine="420" w:firstLineChars="200"/>
    </w:pPr>
    <w:rPr>
      <w:rFonts w:ascii="Calibri" w:hAnsi="Calibri" w:eastAsia="宋体" w:cs="Times New Roman"/>
      <w:szCs w:val="24"/>
    </w:rPr>
  </w:style>
  <w:style w:type="paragraph" w:customStyle="1" w:styleId="3">
    <w:name w:val="正文文本缩进1"/>
    <w:basedOn w:val="1"/>
    <w:next w:val="2"/>
    <w:qFormat/>
    <w:uiPriority w:val="0"/>
    <w:pPr>
      <w:ind w:firstLine="540"/>
    </w:pPr>
    <w:rPr>
      <w:sz w:val="30"/>
    </w:rPr>
  </w:style>
  <w:style w:type="paragraph" w:styleId="13">
    <w:name w:val="annotation text"/>
    <w:basedOn w:val="1"/>
    <w:qFormat/>
    <w:uiPriority w:val="0"/>
    <w:pPr>
      <w:jc w:val="left"/>
    </w:pPr>
  </w:style>
  <w:style w:type="paragraph" w:styleId="14">
    <w:name w:val="Body Text"/>
    <w:basedOn w:val="1"/>
    <w:next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5">
    <w:name w:val="Body Text Indent"/>
    <w:basedOn w:val="1"/>
    <w:next w:val="16"/>
    <w:qFormat/>
    <w:uiPriority w:val="0"/>
    <w:pPr>
      <w:widowControl w:val="0"/>
      <w:ind w:firstLine="540"/>
      <w:jc w:val="both"/>
    </w:pPr>
    <w:rPr>
      <w:rFonts w:ascii="Calibri" w:hAnsi="Calibri" w:eastAsia="宋体" w:cs="Times New Roman"/>
      <w:kern w:val="2"/>
      <w:sz w:val="30"/>
      <w:szCs w:val="24"/>
      <w:lang w:val="en-US" w:eastAsia="zh-CN" w:bidi="ar-SA"/>
    </w:rPr>
  </w:style>
  <w:style w:type="paragraph" w:styleId="16">
    <w:name w:val="Body Text First Indent 2"/>
    <w:basedOn w:val="15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30"/>
      <w:szCs w:val="24"/>
      <w:lang w:val="en-US" w:eastAsia="zh-CN" w:bidi="ar-SA"/>
    </w:r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9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20">
    <w:name w:val="footnote text"/>
    <w:basedOn w:val="1"/>
    <w:next w:val="14"/>
    <w:unhideWhenUsed/>
    <w:qFormat/>
    <w:uiPriority w:val="99"/>
    <w:pPr>
      <w:widowControl w:val="0"/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21">
    <w:name w:val="Normal (Web)"/>
    <w:basedOn w:val="1"/>
    <w:qFormat/>
    <w:uiPriority w:val="0"/>
    <w:rPr>
      <w:sz w:val="24"/>
    </w:rPr>
  </w:style>
  <w:style w:type="paragraph" w:styleId="22">
    <w:name w:val="Title"/>
    <w:basedOn w:val="1"/>
    <w:next w:val="1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25">
    <w:name w:val="无间隔1"/>
    <w:qFormat/>
    <w:uiPriority w:val="0"/>
    <w:pPr>
      <w:widowControl w:val="0"/>
      <w:jc w:val="center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customStyle="1" w:styleId="26">
    <w:name w:val="标题 2 Char"/>
    <w:link w:val="5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3475</Words>
  <Characters>3526</Characters>
  <Lines>0</Lines>
  <Paragraphs>0</Paragraphs>
  <TotalTime>133</TotalTime>
  <ScaleCrop>false</ScaleCrop>
  <LinksUpToDate>false</LinksUpToDate>
  <CharactersWithSpaces>3526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2025-07-10T18:30:00Z</dcterms:created>
  <dc:creator>汪彤</dc:creator>
  <cp:lastModifiedBy>hw</cp:lastModifiedBy>
  <cp:lastPrinted>2026-08-17T09:16:00Z</cp:lastPrinted>
  <dcterms:modified xsi:type="dcterms:W3CDTF">2026-10-19T10:09:10Z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A3A08F27FB844BE9BCB2F9CBED91803D_13</vt:lpwstr>
  </property>
  <property fmtid="{D5CDD505-2E9C-101B-9397-08002B2CF9AE}" pid="4" name="KSOTemplateDocerSaveRecord">
    <vt:lpwstr>eyJoZGlkIjoiOWQ3OTc0YWViYjE0NWQyMTNjZDJjMWYwYjZmNTMyMzEiLCJ1c2VySWQiOiIzNjQ3ODgxMzYifQ==</vt:lpwstr>
  </property>
  <property fmtid="{D5CDD505-2E9C-101B-9397-08002B2CF9AE}" pid="5" name="标题_1">
    <vt:lpwstr>晋城市人民政府关于2025年度市本级_x000B_财政预算执行和其他财政收支的审计工作报告（征求意见稿）</vt:lpwstr>
  </property>
</Properties>
</file>