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ind w:left="0" w:leftChars="0" w:firstLine="0" w:firstLineChars="0"/>
        <w:textAlignment w:val="auto"/>
        <w:rPr>
          <w:rFonts w:hint="eastAsia" w:ascii="方正小标宋简体" w:hAnsi="方正小标宋简体" w:eastAsia="方正小标宋简体" w:cs="方正小标宋简体"/>
          <w:b w:val="0"/>
          <w:bCs w:val="0"/>
          <w:snapToGrid w:val="0"/>
          <w:color w:val="000000"/>
          <w:spacing w:val="-13"/>
          <w:kern w:val="0"/>
          <w:sz w:val="30"/>
          <w:szCs w:val="30"/>
          <w:lang w:val="en" w:eastAsia="zh-CN"/>
        </w:rPr>
      </w:pPr>
      <w:bookmarkStart w:id="0" w:name="_Toc11020"/>
      <w:bookmarkStart w:id="1" w:name="_Toc380"/>
      <w:bookmarkStart w:id="2" w:name="_Toc21048"/>
      <w:bookmarkStart w:id="3" w:name="_Toc30628"/>
      <w:bookmarkStart w:id="25" w:name="_GoBack"/>
      <w:bookmarkEnd w:id="25"/>
      <w:r>
        <w:rPr>
          <w:rFonts w:hint="eastAsia" w:ascii="方正小标宋简体" w:hAnsi="方正小标宋简体" w:eastAsia="方正小标宋简体" w:cs="方正小标宋简体"/>
          <w:b w:val="0"/>
          <w:bCs w:val="0"/>
          <w:snapToGrid w:val="0"/>
          <w:color w:val="000000"/>
          <w:spacing w:val="-13"/>
          <w:kern w:val="0"/>
          <w:sz w:val="30"/>
          <w:szCs w:val="30"/>
          <w:lang w:val="en" w:eastAsia="zh-CN"/>
        </w:rPr>
        <w:t>附件：</w:t>
      </w:r>
    </w:p>
    <w:p>
      <w:pPr>
        <w:keepNext w:val="0"/>
        <w:keepLines w:val="0"/>
        <w:pageBreakBefore w:val="0"/>
        <w:widowControl/>
        <w:kinsoku w:val="0"/>
        <w:wordWrap/>
        <w:overflowPunct/>
        <w:topLinePunct w:val="0"/>
        <w:autoSpaceDE w:val="0"/>
        <w:autoSpaceDN w:val="0"/>
        <w:bidi w:val="0"/>
        <w:adjustRightInd w:val="0"/>
        <w:snapToGrid w:val="0"/>
        <w:spacing w:before="149" w:line="580" w:lineRule="exact"/>
        <w:ind w:left="2775" w:right="1272" w:hanging="1559" w:firstLineChars="0"/>
        <w:jc w:val="center"/>
        <w:textAlignment w:val="baseline"/>
        <w:rPr>
          <w:rFonts w:hint="eastAsia" w:ascii="方正小标宋简体" w:hAnsi="方正小标宋简体" w:eastAsia="方正小标宋简体" w:cs="方正小标宋简体"/>
          <w:b w:val="0"/>
          <w:bCs w:val="0"/>
          <w:snapToGrid w:val="0"/>
          <w:color w:val="000000"/>
          <w:spacing w:val="-13"/>
          <w:kern w:val="0"/>
          <w:sz w:val="44"/>
          <w:szCs w:val="44"/>
        </w:rPr>
      </w:pPr>
      <w:r>
        <w:rPr>
          <w:rFonts w:hint="eastAsia" w:ascii="方正小标宋简体" w:hAnsi="方正小标宋简体" w:eastAsia="方正小标宋简体" w:cs="方正小标宋简体"/>
          <w:b w:val="0"/>
          <w:bCs w:val="0"/>
          <w:snapToGrid w:val="0"/>
          <w:color w:val="000000"/>
          <w:spacing w:val="-13"/>
          <w:kern w:val="0"/>
          <w:sz w:val="44"/>
          <w:szCs w:val="44"/>
        </w:rPr>
        <w:t>晋城市城市区域声环境功能区</w:t>
      </w:r>
    </w:p>
    <w:p>
      <w:pPr>
        <w:keepNext w:val="0"/>
        <w:keepLines w:val="0"/>
        <w:pageBreakBefore w:val="0"/>
        <w:widowControl/>
        <w:kinsoku w:val="0"/>
        <w:wordWrap/>
        <w:overflowPunct/>
        <w:topLinePunct w:val="0"/>
        <w:autoSpaceDE w:val="0"/>
        <w:autoSpaceDN w:val="0"/>
        <w:bidi w:val="0"/>
        <w:adjustRightInd w:val="0"/>
        <w:snapToGrid w:val="0"/>
        <w:spacing w:before="149" w:line="580" w:lineRule="exact"/>
        <w:ind w:left="2775" w:right="1272" w:hanging="1559" w:firstLineChars="0"/>
        <w:jc w:val="center"/>
        <w:textAlignment w:val="baseline"/>
        <w:rPr>
          <w:rFonts w:hint="eastAsia" w:ascii="方正小标宋简体" w:hAnsi="方正小标宋简体" w:eastAsia="方正小标宋简体" w:cs="方正小标宋简体"/>
          <w:b w:val="0"/>
          <w:bCs w:val="0"/>
          <w:snapToGrid w:val="0"/>
          <w:color w:val="000000"/>
          <w:spacing w:val="-13"/>
          <w:kern w:val="0"/>
          <w:sz w:val="44"/>
          <w:szCs w:val="44"/>
        </w:rPr>
      </w:pPr>
      <w:r>
        <w:rPr>
          <w:rFonts w:hint="eastAsia" w:ascii="方正小标宋简体" w:hAnsi="方正小标宋简体" w:eastAsia="方正小标宋简体" w:cs="方正小标宋简体"/>
          <w:b w:val="0"/>
          <w:bCs w:val="0"/>
          <w:snapToGrid w:val="0"/>
          <w:color w:val="000000"/>
          <w:spacing w:val="-13"/>
          <w:kern w:val="0"/>
          <w:sz w:val="44"/>
          <w:szCs w:val="44"/>
        </w:rPr>
        <w:t>划分调整方案</w:t>
      </w:r>
    </w:p>
    <w:p>
      <w:pPr>
        <w:keepNext w:val="0"/>
        <w:keepLines w:val="0"/>
        <w:pageBreakBefore w:val="0"/>
        <w:widowControl w:val="0"/>
        <w:tabs>
          <w:tab w:val="left" w:pos="5941"/>
        </w:tabs>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Times New Roman" w:hAnsi="Times New Roman" w:eastAsia="黑体" w:cs="黑体"/>
          <w:b w:val="0"/>
          <w:bCs w:val="0"/>
          <w:spacing w:val="-5"/>
          <w:sz w:val="32"/>
          <w:szCs w:val="32"/>
          <w:lang w:val="en-US" w:eastAsia="zh-CN"/>
        </w:rPr>
        <w:t>一、</w:t>
      </w:r>
      <w:r>
        <w:rPr>
          <w:rFonts w:hint="eastAsia" w:ascii="Times New Roman" w:hAnsi="Times New Roman" w:eastAsia="黑体" w:cs="黑体"/>
          <w:b w:val="0"/>
          <w:bCs w:val="0"/>
          <w:spacing w:val="-5"/>
          <w:sz w:val="32"/>
          <w:szCs w:val="32"/>
        </w:rPr>
        <w:t>编制目的</w:t>
      </w:r>
      <w:r>
        <w:rPr>
          <w:rFonts w:hint="eastAsia" w:eastAsia="黑体" w:cs="黑体"/>
          <w:b w:val="0"/>
          <w:bCs w:val="0"/>
          <w:spacing w:val="-5"/>
          <w:sz w:val="32"/>
          <w:szCs w:val="32"/>
          <w:lang w:eastAsia="zh-CN"/>
        </w:rPr>
        <w:tab/>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pacing w:val="-5"/>
          <w:sz w:val="32"/>
          <w:szCs w:val="32"/>
        </w:rPr>
      </w:pPr>
      <w:r>
        <w:rPr>
          <w:rFonts w:hint="eastAsia" w:ascii="仿宋" w:hAnsi="仿宋" w:eastAsia="仿宋" w:cs="仿宋"/>
          <w:spacing w:val="-5"/>
          <w:sz w:val="32"/>
          <w:szCs w:val="32"/>
          <w:lang w:val="en-US" w:eastAsia="zh-CN"/>
        </w:rPr>
        <w:t>（1）</w:t>
      </w:r>
      <w:r>
        <w:rPr>
          <w:rFonts w:hint="eastAsia" w:ascii="仿宋" w:hAnsi="仿宋" w:eastAsia="仿宋" w:cs="仿宋"/>
          <w:spacing w:val="-5"/>
          <w:sz w:val="32"/>
          <w:szCs w:val="32"/>
        </w:rPr>
        <w:t>以习近平新时代中国特色社会主义思想为指导，提升晋城市噪声环境污染防治和声环境质量管理水平</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强化噪声排放源监督管理，切实解决噪声扰民等突出问题</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不断改善城市声环境质量，努力建设安静舒适的城市环境</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lang w:val="en-US" w:eastAsia="zh-CN"/>
        </w:rPr>
        <w:t>保障</w:t>
      </w:r>
      <w:r>
        <w:rPr>
          <w:rFonts w:hint="eastAsia" w:ascii="仿宋" w:hAnsi="仿宋" w:eastAsia="仿宋" w:cs="仿宋"/>
          <w:spacing w:val="-5"/>
          <w:sz w:val="32"/>
          <w:szCs w:val="32"/>
        </w:rPr>
        <w:t>居民身体健康，促进和谐社会的有序建设。</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pacing w:val="-5"/>
          <w:sz w:val="32"/>
          <w:szCs w:val="32"/>
        </w:rPr>
      </w:pPr>
      <w:r>
        <w:rPr>
          <w:rFonts w:hint="eastAsia" w:ascii="仿宋" w:hAnsi="仿宋" w:eastAsia="仿宋" w:cs="仿宋"/>
          <w:spacing w:val="-5"/>
          <w:sz w:val="32"/>
          <w:szCs w:val="32"/>
          <w:lang w:val="en-US" w:eastAsia="zh-CN"/>
        </w:rPr>
        <w:t>（2）</w:t>
      </w:r>
      <w:r>
        <w:rPr>
          <w:rFonts w:hint="eastAsia" w:ascii="仿宋" w:hAnsi="仿宋" w:eastAsia="仿宋" w:cs="仿宋"/>
          <w:spacing w:val="-5"/>
          <w:sz w:val="32"/>
          <w:szCs w:val="32"/>
        </w:rPr>
        <w:t>坚持环境噪声的污染与防治相结合，促进声环境质量的全面改善；坚持促进噪声达标排放和减少扰民纠纷相结合，减轻噪声污染对居民生活、工作、学习的影响；坚持环境噪声污染防治和声环境质量管理相结合，健全环境噪声管理制度和政策措施；坚持统一监督与部门分工负责相结合，形成环境噪声污染防治分工联动的工作机制。</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pacing w:val="-5"/>
          <w:sz w:val="32"/>
          <w:szCs w:val="32"/>
        </w:rPr>
      </w:pPr>
      <w:r>
        <w:rPr>
          <w:rFonts w:hint="eastAsia" w:ascii="仿宋" w:hAnsi="仿宋" w:eastAsia="仿宋" w:cs="仿宋"/>
          <w:spacing w:val="-5"/>
          <w:sz w:val="32"/>
          <w:szCs w:val="32"/>
          <w:lang w:val="en-US" w:eastAsia="zh-CN"/>
        </w:rPr>
        <w:t>（3）</w:t>
      </w:r>
      <w:r>
        <w:rPr>
          <w:rFonts w:hint="eastAsia" w:ascii="仿宋" w:hAnsi="仿宋" w:eastAsia="仿宋" w:cs="仿宋"/>
          <w:spacing w:val="-5"/>
          <w:sz w:val="32"/>
          <w:szCs w:val="32"/>
        </w:rPr>
        <w:t>加强晋城市交通、施工、社会生活、工业生产</w:t>
      </w:r>
      <w:r>
        <w:rPr>
          <w:rFonts w:hint="eastAsia" w:ascii="仿宋" w:hAnsi="仿宋" w:eastAsia="仿宋" w:cs="仿宋"/>
          <w:spacing w:val="-5"/>
          <w:sz w:val="32"/>
          <w:szCs w:val="32"/>
          <w:lang w:val="en-US" w:eastAsia="zh-CN"/>
        </w:rPr>
        <w:t>等</w:t>
      </w:r>
      <w:r>
        <w:rPr>
          <w:rFonts w:hint="eastAsia" w:ascii="仿宋" w:hAnsi="仿宋" w:eastAsia="仿宋" w:cs="仿宋"/>
          <w:spacing w:val="-5"/>
          <w:sz w:val="32"/>
          <w:szCs w:val="32"/>
        </w:rPr>
        <w:t>噪声污染防治</w:t>
      </w:r>
      <w:r>
        <w:rPr>
          <w:rFonts w:hint="eastAsia" w:ascii="仿宋" w:hAnsi="仿宋" w:eastAsia="仿宋" w:cs="仿宋"/>
          <w:spacing w:val="-5"/>
          <w:sz w:val="32"/>
          <w:szCs w:val="32"/>
          <w:lang w:val="en-US" w:eastAsia="zh-CN"/>
        </w:rPr>
        <w:t>工作</w:t>
      </w:r>
      <w:r>
        <w:rPr>
          <w:rFonts w:hint="eastAsia" w:ascii="仿宋" w:hAnsi="仿宋" w:eastAsia="仿宋" w:cs="仿宋"/>
          <w:spacing w:val="-5"/>
          <w:sz w:val="32"/>
          <w:szCs w:val="32"/>
        </w:rPr>
        <w:t>。</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pacing w:val="-5"/>
          <w:sz w:val="32"/>
          <w:szCs w:val="32"/>
        </w:rPr>
      </w:pPr>
      <w:r>
        <w:rPr>
          <w:rFonts w:hint="eastAsia" w:ascii="仿宋" w:hAnsi="仿宋" w:eastAsia="仿宋" w:cs="仿宋"/>
          <w:spacing w:val="-5"/>
          <w:sz w:val="32"/>
          <w:szCs w:val="32"/>
          <w:lang w:val="en-US" w:eastAsia="zh-CN"/>
        </w:rPr>
        <w:t>（4）</w:t>
      </w:r>
      <w:r>
        <w:rPr>
          <w:rFonts w:hint="eastAsia" w:ascii="仿宋" w:hAnsi="仿宋" w:eastAsia="仿宋" w:cs="仿宋"/>
          <w:spacing w:val="-5"/>
          <w:sz w:val="32"/>
          <w:szCs w:val="32"/>
        </w:rPr>
        <w:t>强化各部门协调联动，改善</w:t>
      </w:r>
      <w:r>
        <w:rPr>
          <w:rFonts w:hint="eastAsia" w:ascii="仿宋" w:hAnsi="仿宋" w:eastAsia="仿宋" w:cs="仿宋"/>
          <w:spacing w:val="-5"/>
          <w:sz w:val="32"/>
          <w:szCs w:val="32"/>
          <w:lang w:val="en-US" w:eastAsia="zh-CN"/>
        </w:rPr>
        <w:t>城市</w:t>
      </w:r>
      <w:r>
        <w:rPr>
          <w:rFonts w:hint="eastAsia" w:ascii="仿宋" w:hAnsi="仿宋" w:eastAsia="仿宋" w:cs="仿宋"/>
          <w:spacing w:val="-5"/>
          <w:sz w:val="32"/>
          <w:szCs w:val="32"/>
        </w:rPr>
        <w:t>声环境质量。</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黑体" w:cs="黑体"/>
          <w:spacing w:val="-5"/>
          <w:sz w:val="32"/>
          <w:szCs w:val="32"/>
          <w:highlight w:val="none"/>
        </w:rPr>
      </w:pPr>
      <w:r>
        <w:rPr>
          <w:rFonts w:hint="eastAsia" w:ascii="Times New Roman" w:hAnsi="Times New Roman" w:eastAsia="黑体" w:cs="黑体"/>
          <w:spacing w:val="-5"/>
          <w:sz w:val="32"/>
          <w:szCs w:val="32"/>
          <w:highlight w:val="none"/>
        </w:rPr>
        <w:t>二、总体要求</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spacing w:val="-5"/>
          <w:sz w:val="32"/>
          <w:szCs w:val="32"/>
          <w:highlight w:val="none"/>
          <w:lang w:val="en-US" w:eastAsia="zh-CN"/>
        </w:rPr>
      </w:pPr>
      <w:r>
        <w:rPr>
          <w:rFonts w:hint="eastAsia" w:ascii="楷体_GB2312" w:hAnsi="楷体_GB2312" w:eastAsia="楷体_GB2312" w:cs="楷体_GB2312"/>
          <w:spacing w:val="-5"/>
          <w:sz w:val="32"/>
          <w:szCs w:val="32"/>
          <w:highlight w:val="none"/>
          <w:lang w:eastAsia="zh-CN"/>
        </w:rPr>
        <w:t>（</w:t>
      </w:r>
      <w:r>
        <w:rPr>
          <w:rFonts w:hint="eastAsia" w:ascii="楷体_GB2312" w:hAnsi="楷体_GB2312" w:eastAsia="楷体_GB2312" w:cs="楷体_GB2312"/>
          <w:spacing w:val="-5"/>
          <w:sz w:val="32"/>
          <w:szCs w:val="32"/>
          <w:highlight w:val="none"/>
        </w:rPr>
        <w:t>一</w:t>
      </w:r>
      <w:r>
        <w:rPr>
          <w:rFonts w:hint="eastAsia" w:ascii="楷体_GB2312" w:hAnsi="楷体_GB2312" w:eastAsia="楷体_GB2312" w:cs="楷体_GB2312"/>
          <w:spacing w:val="-5"/>
          <w:sz w:val="32"/>
          <w:szCs w:val="32"/>
          <w:highlight w:val="none"/>
          <w:lang w:eastAsia="zh-CN"/>
        </w:rPr>
        <w:t>）</w:t>
      </w:r>
      <w:r>
        <w:rPr>
          <w:rFonts w:hint="eastAsia" w:ascii="楷体_GB2312" w:hAnsi="楷体_GB2312" w:eastAsia="楷体_GB2312" w:cs="楷体_GB2312"/>
          <w:spacing w:val="-5"/>
          <w:sz w:val="32"/>
          <w:szCs w:val="32"/>
          <w:highlight w:val="none"/>
          <w:lang w:val="en-US" w:eastAsia="zh-CN"/>
        </w:rPr>
        <w:t>区划意义</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仿宋" w:cs="仿宋"/>
          <w:spacing w:val="-5"/>
          <w:sz w:val="32"/>
          <w:szCs w:val="32"/>
        </w:rPr>
      </w:pPr>
      <w:r>
        <w:rPr>
          <w:rFonts w:hint="eastAsia" w:ascii="Times New Roman" w:hAnsi="Times New Roman" w:eastAsia="仿宋" w:cs="仿宋"/>
          <w:spacing w:val="-5"/>
          <w:sz w:val="32"/>
          <w:szCs w:val="32"/>
        </w:rPr>
        <w:t>通过本次声环境功能区划</w:t>
      </w:r>
      <w:r>
        <w:rPr>
          <w:rFonts w:hint="eastAsia" w:ascii="Times New Roman" w:hAnsi="Times New Roman" w:eastAsia="仿宋" w:cs="仿宋"/>
          <w:spacing w:val="-5"/>
          <w:sz w:val="32"/>
          <w:szCs w:val="32"/>
          <w:lang w:val="en-US" w:eastAsia="zh-CN"/>
        </w:rPr>
        <w:t>分</w:t>
      </w:r>
      <w:r>
        <w:rPr>
          <w:rFonts w:hint="eastAsia" w:ascii="Times New Roman" w:hAnsi="Times New Roman" w:eastAsia="仿宋" w:cs="仿宋"/>
          <w:spacing w:val="-5"/>
          <w:sz w:val="32"/>
          <w:szCs w:val="32"/>
        </w:rPr>
        <w:t>调整工作，进一步明确晋城市</w:t>
      </w:r>
      <w:r>
        <w:rPr>
          <w:rFonts w:hint="eastAsia" w:ascii="Times New Roman" w:hAnsi="Times New Roman" w:eastAsia="仿宋" w:cs="仿宋"/>
          <w:spacing w:val="-5"/>
          <w:sz w:val="32"/>
          <w:szCs w:val="32"/>
          <w:lang w:val="en-US" w:eastAsia="zh-CN"/>
        </w:rPr>
        <w:t>城市区域声环境功能区</w:t>
      </w:r>
      <w:r>
        <w:rPr>
          <w:rFonts w:hint="eastAsia" w:ascii="Times New Roman" w:hAnsi="Times New Roman" w:eastAsia="仿宋" w:cs="仿宋"/>
          <w:spacing w:val="-5"/>
          <w:sz w:val="32"/>
          <w:szCs w:val="32"/>
        </w:rPr>
        <w:t>类型，</w:t>
      </w:r>
      <w:r>
        <w:rPr>
          <w:rFonts w:hint="eastAsia" w:ascii="Times New Roman" w:hAnsi="Times New Roman" w:eastAsia="仿宋" w:cs="仿宋"/>
          <w:spacing w:val="-5"/>
          <w:sz w:val="32"/>
          <w:szCs w:val="32"/>
          <w:lang w:val="en-US" w:eastAsia="zh-CN"/>
        </w:rPr>
        <w:t>对</w:t>
      </w:r>
      <w:r>
        <w:rPr>
          <w:rFonts w:hint="eastAsia" w:ascii="Times New Roman" w:hAnsi="Times New Roman" w:eastAsia="仿宋" w:cs="仿宋"/>
          <w:spacing w:val="-5"/>
          <w:sz w:val="32"/>
          <w:szCs w:val="32"/>
        </w:rPr>
        <w:t>改善和提高城市区域声环境质量，保障人民身体健康，促进城市社会经济的快速发展有着重要意义。</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spacing w:val="-5"/>
          <w:sz w:val="32"/>
          <w:szCs w:val="32"/>
          <w:highlight w:val="none"/>
          <w:lang w:val="en-US" w:eastAsia="zh-CN"/>
        </w:rPr>
      </w:pPr>
      <w:r>
        <w:rPr>
          <w:rFonts w:hint="eastAsia" w:ascii="楷体_GB2312" w:hAnsi="楷体_GB2312" w:eastAsia="楷体_GB2312" w:cs="楷体_GB2312"/>
          <w:spacing w:val="-5"/>
          <w:sz w:val="32"/>
          <w:szCs w:val="32"/>
          <w:highlight w:val="none"/>
          <w:lang w:val="en-US" w:eastAsia="zh-CN"/>
        </w:rPr>
        <w:t>（二）基本思路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ascii="Times New Roman" w:hAnsi="Times New Roman" w:eastAsia="仿宋" w:cs="仿宋"/>
          <w:spacing w:val="-5"/>
          <w:sz w:val="32"/>
          <w:szCs w:val="32"/>
          <w:highlight w:val="none"/>
        </w:rPr>
      </w:pPr>
      <w:r>
        <w:rPr>
          <w:rFonts w:ascii="Times New Roman" w:hAnsi="Times New Roman" w:eastAsia="仿宋" w:cs="仿宋"/>
          <w:spacing w:val="-5"/>
          <w:sz w:val="32"/>
          <w:szCs w:val="32"/>
          <w:highlight w:val="none"/>
        </w:rPr>
        <w:t>区划以城市总体规划为指导，重点考虑城市建设和用地现状，按照规划用地性质、用地现状、声环境质量现状和现行声环境功能区等确定。声环境功能区根据城市总体规划和用地性质变化而同步调整。</w:t>
      </w:r>
    </w:p>
    <w:bookmarkEnd w:id="0"/>
    <w:bookmarkEnd w:id="1"/>
    <w:bookmarkEnd w:id="2"/>
    <w:bookmarkEnd w:id="3"/>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黑体" w:cs="黑体"/>
          <w:b w:val="0"/>
          <w:bCs w:val="0"/>
          <w:spacing w:val="-5"/>
          <w:sz w:val="32"/>
          <w:szCs w:val="32"/>
          <w:lang w:eastAsia="zh-CN"/>
        </w:rPr>
      </w:pPr>
      <w:bookmarkStart w:id="4" w:name="_Toc9952"/>
      <w:bookmarkStart w:id="5" w:name="_Toc17751"/>
      <w:bookmarkStart w:id="6" w:name="_Toc15888"/>
      <w:bookmarkStart w:id="7" w:name="_Toc2459"/>
      <w:r>
        <w:rPr>
          <w:rFonts w:hint="eastAsia" w:ascii="Times New Roman" w:hAnsi="Times New Roman" w:eastAsia="黑体" w:cs="黑体"/>
          <w:b w:val="0"/>
          <w:bCs w:val="0"/>
          <w:spacing w:val="-5"/>
          <w:sz w:val="32"/>
          <w:szCs w:val="32"/>
          <w:lang w:val="en-US" w:eastAsia="zh-CN"/>
        </w:rPr>
        <w:t>三、</w:t>
      </w:r>
      <w:r>
        <w:rPr>
          <w:rFonts w:hint="eastAsia" w:ascii="Times New Roman" w:hAnsi="Times New Roman" w:eastAsia="黑体" w:cs="黑体"/>
          <w:b w:val="0"/>
          <w:bCs w:val="0"/>
          <w:spacing w:val="-5"/>
          <w:sz w:val="32"/>
          <w:szCs w:val="32"/>
          <w:lang w:eastAsia="zh-CN"/>
        </w:rPr>
        <w:t>区划原则</w:t>
      </w:r>
      <w:bookmarkEnd w:id="4"/>
      <w:bookmarkEnd w:id="5"/>
      <w:bookmarkEnd w:id="6"/>
      <w:bookmarkEnd w:id="7"/>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区划以“有效控制噪声污染的程度和范围，提高声环境质量”为宗旨，遵循以下基本原则：</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（1）区划应以城市规划为指导，按区域规划用地的主导功能、用地现状确定。应覆盖整个城市规划区面积。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（2）区划应便于城市噪声管理和促进噪声治理。</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spacing w:val="-5"/>
          <w:sz w:val="32"/>
          <w:szCs w:val="32"/>
          <w:lang w:val="en-US" w:eastAsia="zh-CN"/>
        </w:rPr>
        <w:t>（3）</w:t>
      </w:r>
      <w:r>
        <w:rPr>
          <w:rFonts w:hint="eastAsia" w:ascii="仿宋" w:hAnsi="仿宋" w:eastAsia="仿宋" w:cs="仿宋"/>
          <w:color w:val="auto"/>
          <w:spacing w:val="-5"/>
          <w:sz w:val="32"/>
          <w:szCs w:val="32"/>
          <w:highlight w:val="none"/>
          <w:lang w:val="en-US" w:eastAsia="zh-CN"/>
        </w:rPr>
        <w:t>单块的声环境功能区面积，原则上不小于0.5km</w:t>
      </w:r>
      <w:r>
        <w:rPr>
          <w:rFonts w:hint="eastAsia" w:ascii="仿宋" w:hAnsi="仿宋" w:eastAsia="仿宋" w:cs="仿宋"/>
          <w:color w:val="auto"/>
          <w:spacing w:val="-5"/>
          <w:sz w:val="32"/>
          <w:szCs w:val="32"/>
          <w:highlight w:val="none"/>
          <w:vertAlign w:val="superscript"/>
          <w:lang w:val="en-US" w:eastAsia="zh-CN"/>
        </w:rPr>
        <w:t>2</w:t>
      </w:r>
      <w:r>
        <w:rPr>
          <w:rFonts w:hint="eastAsia" w:ascii="仿宋" w:hAnsi="仿宋" w:eastAsia="仿宋" w:cs="仿宋"/>
          <w:color w:val="auto"/>
          <w:spacing w:val="-5"/>
          <w:sz w:val="32"/>
          <w:szCs w:val="32"/>
          <w:highlight w:val="none"/>
          <w:lang w:val="en-US" w:eastAsia="zh-CN"/>
        </w:rPr>
        <w:t>。山区等地形特殊的城市，可根据城市的地形特征确定适宜的区域面积。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spacing w:val="-5"/>
          <w:sz w:val="32"/>
          <w:szCs w:val="32"/>
          <w:lang w:val="en-US" w:eastAsia="zh-CN"/>
        </w:rPr>
        <w:t>（4）</w:t>
      </w:r>
      <w:r>
        <w:rPr>
          <w:rFonts w:hint="eastAsia" w:ascii="仿宋" w:hAnsi="仿宋" w:eastAsia="仿宋" w:cs="仿宋"/>
          <w:color w:val="auto"/>
          <w:spacing w:val="-5"/>
          <w:sz w:val="32"/>
          <w:szCs w:val="32"/>
          <w:highlight w:val="none"/>
          <w:lang w:val="en-US" w:eastAsia="zh-CN"/>
        </w:rPr>
        <w:t>调整声环境功能区类别需进行充分的说明。严格控制4类声环境功能区范围。</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spacing w:val="-5"/>
          <w:sz w:val="32"/>
          <w:szCs w:val="32"/>
          <w:lang w:val="en-US" w:eastAsia="zh-CN"/>
        </w:rPr>
        <w:t>（5）</w:t>
      </w:r>
      <w:r>
        <w:rPr>
          <w:rFonts w:hint="eastAsia" w:ascii="仿宋" w:hAnsi="仿宋" w:eastAsia="仿宋" w:cs="仿宋"/>
          <w:color w:val="auto"/>
          <w:spacing w:val="-5"/>
          <w:sz w:val="32"/>
          <w:szCs w:val="32"/>
          <w:highlight w:val="none"/>
          <w:lang w:val="en-US" w:eastAsia="zh-CN"/>
        </w:rPr>
        <w:t>根据城市规模和用地变化情况，噪声区划可适时调整，原则上不超过5年调整一次。</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spacing w:val="-5"/>
          <w:sz w:val="32"/>
          <w:szCs w:val="32"/>
          <w:lang w:val="en-US" w:eastAsia="zh-CN"/>
        </w:rPr>
        <w:t>（6）</w:t>
      </w:r>
      <w:r>
        <w:rPr>
          <w:rFonts w:hint="eastAsia" w:ascii="仿宋" w:hAnsi="仿宋" w:eastAsia="仿宋" w:cs="仿宋"/>
          <w:color w:val="auto"/>
          <w:spacing w:val="-5"/>
          <w:sz w:val="32"/>
          <w:szCs w:val="32"/>
          <w:highlight w:val="none"/>
          <w:lang w:val="en-US" w:eastAsia="zh-CN"/>
        </w:rPr>
        <w:t>城市区域声环境功能区划分要充分考虑城市的经济、社会发展，要有利于城市规划的实施和城市改造，做到区划科学合理，促进环境、经济、社会协调一致发展。</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spacing w:val="-5"/>
          <w:sz w:val="32"/>
          <w:szCs w:val="32"/>
          <w:lang w:val="en-US" w:eastAsia="zh-CN"/>
        </w:rPr>
        <w:t>（7）</w:t>
      </w:r>
      <w:r>
        <w:rPr>
          <w:rFonts w:hint="eastAsia" w:ascii="仿宋" w:hAnsi="仿宋" w:eastAsia="仿宋" w:cs="仿宋"/>
          <w:color w:val="auto"/>
          <w:spacing w:val="-5"/>
          <w:sz w:val="32"/>
          <w:szCs w:val="32"/>
          <w:highlight w:val="none"/>
          <w:lang w:val="en-US" w:eastAsia="zh-CN"/>
        </w:rPr>
        <w:t>相邻适用区达标原则。工业企业以及固定源设备排放噪声影响到相邻声环境功能区内的噪声敏感建筑物时，其排放的噪声在敏感建筑物处应达到该功能区的声环境质量标准。</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spacing w:val="-5"/>
          <w:sz w:val="32"/>
          <w:szCs w:val="32"/>
          <w:lang w:val="en-US" w:eastAsia="zh-CN"/>
        </w:rPr>
        <w:t>（8）</w:t>
      </w:r>
      <w:r>
        <w:rPr>
          <w:rFonts w:hint="eastAsia" w:ascii="仿宋" w:hAnsi="仿宋" w:eastAsia="仿宋" w:cs="仿宋"/>
          <w:color w:val="auto"/>
          <w:spacing w:val="-5"/>
          <w:sz w:val="32"/>
          <w:szCs w:val="32"/>
          <w:highlight w:val="none"/>
          <w:lang w:val="en-US" w:eastAsia="zh-CN"/>
        </w:rPr>
        <w:t>对于功能区划工作中未涉及的乡镇、村庄等区域，依据《声环境质量标准》（GB3096-2008）的相关规定执行。</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color w:val="auto"/>
          <w:spacing w:val="-5"/>
          <w:sz w:val="32"/>
          <w:szCs w:val="32"/>
          <w:highlight w:val="none"/>
          <w:lang w:val="en-US" w:eastAsia="zh-CN"/>
        </w:rPr>
        <w:t>①位于乡村的康复疗养区执行0类声环境功能区要求；</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color w:val="auto"/>
          <w:spacing w:val="-5"/>
          <w:sz w:val="32"/>
          <w:szCs w:val="32"/>
          <w:highlight w:val="none"/>
          <w:lang w:val="en-US" w:eastAsia="zh-CN"/>
        </w:rPr>
        <w:t>②村庄原则上执行1类声环境功能区要求，工业活动较多的村庄以及有交通干线经过的村庄（指执行4类声环境功能区要求以外的地区）可局部或全部执行2类声环境功能区要求；</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color w:val="auto"/>
          <w:spacing w:val="-5"/>
          <w:sz w:val="32"/>
          <w:szCs w:val="32"/>
          <w:highlight w:val="none"/>
          <w:lang w:val="en-US" w:eastAsia="zh-CN"/>
        </w:rPr>
        <w:t>③集镇执行2类声环境功能区要求；</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color w:val="auto"/>
          <w:spacing w:val="-5"/>
          <w:sz w:val="32"/>
          <w:szCs w:val="32"/>
          <w:highlight w:val="none"/>
          <w:lang w:val="en-US" w:eastAsia="zh-CN"/>
        </w:rPr>
        <w:t>④独立于村庄、集镇之外的工业、仓储集中区执行3类声环境功能区要求；</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color w:val="auto"/>
          <w:spacing w:val="-5"/>
          <w:sz w:val="32"/>
          <w:szCs w:val="32"/>
          <w:highlight w:val="none"/>
          <w:lang w:val="en-US" w:eastAsia="zh-CN"/>
        </w:rPr>
        <w:t>⑤位于交通干线两侧一定距离（参考GB/T 15190-2014第8.3条规定）内的噪声敏感建筑物执行4类声环境功能区要求。</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黑体" w:cs="黑体"/>
          <w:b w:val="0"/>
          <w:bCs w:val="0"/>
          <w:spacing w:val="-5"/>
          <w:sz w:val="32"/>
          <w:szCs w:val="32"/>
          <w:lang w:eastAsia="zh-CN"/>
        </w:rPr>
      </w:pPr>
      <w:bookmarkStart w:id="8" w:name="_Toc26100"/>
      <w:bookmarkStart w:id="9" w:name="_Toc3962"/>
      <w:bookmarkStart w:id="10" w:name="_Toc24678"/>
      <w:bookmarkStart w:id="11" w:name="_Toc15202"/>
      <w:r>
        <w:rPr>
          <w:rFonts w:hint="eastAsia" w:ascii="Times New Roman" w:hAnsi="Times New Roman" w:eastAsia="黑体" w:cs="黑体"/>
          <w:b w:val="0"/>
          <w:bCs w:val="0"/>
          <w:spacing w:val="-5"/>
          <w:sz w:val="32"/>
          <w:szCs w:val="32"/>
          <w:lang w:val="en-US" w:eastAsia="zh-CN"/>
        </w:rPr>
        <w:t>四、</w:t>
      </w:r>
      <w:r>
        <w:rPr>
          <w:rFonts w:hint="eastAsia" w:ascii="Times New Roman" w:hAnsi="Times New Roman" w:eastAsia="黑体" w:cs="黑体"/>
          <w:b w:val="0"/>
          <w:bCs w:val="0"/>
          <w:spacing w:val="-5"/>
          <w:sz w:val="32"/>
          <w:szCs w:val="32"/>
          <w:lang w:eastAsia="zh-CN"/>
        </w:rPr>
        <w:t>适用范围</w:t>
      </w:r>
      <w:bookmarkEnd w:id="8"/>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highlight w:val="none"/>
          <w:lang w:val="en-US" w:eastAsia="zh-CN"/>
        </w:rPr>
      </w:pPr>
      <w:r>
        <w:rPr>
          <w:rFonts w:hint="eastAsia" w:ascii="仿宋" w:hAnsi="仿宋" w:eastAsia="仿宋" w:cs="仿宋"/>
          <w:spacing w:val="-5"/>
          <w:sz w:val="32"/>
          <w:szCs w:val="32"/>
          <w:highlight w:val="none"/>
          <w:lang w:val="en-US" w:eastAsia="zh-CN"/>
        </w:rPr>
        <w:t>本次区划范围根据《晋城市城市总体规划（2008-2020）》和《晋城经济技术开发区一区四园总体规划（2018-2035）》及城市实际建设情况确定，包括晋城市主城区、金匠工业园区及北石店片区。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highlight w:val="none"/>
          <w:lang w:val="en-US" w:eastAsia="zh-CN"/>
        </w:rPr>
      </w:pPr>
      <w:r>
        <w:rPr>
          <w:rFonts w:hint="eastAsia" w:ascii="仿宋" w:hAnsi="仿宋" w:eastAsia="仿宋" w:cs="仿宋"/>
          <w:spacing w:val="-5"/>
          <w:sz w:val="32"/>
          <w:szCs w:val="32"/>
          <w:highlight w:val="none"/>
          <w:lang w:val="en-US" w:eastAsia="zh-CN"/>
        </w:rPr>
        <w:t>主城区具体范围为：西至西环路，南至规划南环路，东至规划东环路，北至北环路。区划总面积55km</w:t>
      </w:r>
      <w:r>
        <w:rPr>
          <w:rFonts w:hint="eastAsia" w:ascii="仿宋" w:hAnsi="仿宋" w:eastAsia="仿宋" w:cs="仿宋"/>
          <w:spacing w:val="-5"/>
          <w:sz w:val="32"/>
          <w:szCs w:val="32"/>
          <w:highlight w:val="none"/>
          <w:vertAlign w:val="superscript"/>
          <w:lang w:val="en-US" w:eastAsia="zh-CN"/>
        </w:rPr>
        <w:t>2</w:t>
      </w:r>
      <w:r>
        <w:rPr>
          <w:rFonts w:hint="eastAsia" w:ascii="仿宋" w:hAnsi="仿宋" w:eastAsia="仿宋" w:cs="仿宋"/>
          <w:spacing w:val="-5"/>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highlight w:val="none"/>
          <w:lang w:val="en-US" w:eastAsia="zh-CN"/>
        </w:rPr>
      </w:pPr>
      <w:r>
        <w:rPr>
          <w:rFonts w:hint="eastAsia" w:ascii="仿宋" w:hAnsi="仿宋" w:eastAsia="仿宋" w:cs="仿宋"/>
          <w:spacing w:val="-5"/>
          <w:sz w:val="32"/>
          <w:szCs w:val="32"/>
          <w:highlight w:val="none"/>
          <w:lang w:val="en-US" w:eastAsia="zh-CN"/>
        </w:rPr>
        <w:t>北石店片区范围：北至规划陵沁路，东至惠晋路，西至北石店铁路—尚安街—长晋线，南至北环路。区划总面积12.55km</w:t>
      </w:r>
      <w:r>
        <w:rPr>
          <w:rFonts w:hint="eastAsia" w:ascii="仿宋" w:hAnsi="仿宋" w:eastAsia="仿宋" w:cs="仿宋"/>
          <w:spacing w:val="-5"/>
          <w:sz w:val="32"/>
          <w:szCs w:val="32"/>
          <w:highlight w:val="none"/>
          <w:vertAlign w:val="superscript"/>
          <w:lang w:val="en-US" w:eastAsia="zh-CN"/>
        </w:rPr>
        <w:t>2</w:t>
      </w:r>
      <w:r>
        <w:rPr>
          <w:rFonts w:hint="eastAsia" w:ascii="仿宋" w:hAnsi="仿宋" w:eastAsia="仿宋" w:cs="仿宋"/>
          <w:spacing w:val="-5"/>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highlight w:val="none"/>
          <w:lang w:val="en-US" w:eastAsia="zh-CN"/>
        </w:rPr>
      </w:pPr>
      <w:r>
        <w:rPr>
          <w:rFonts w:hint="eastAsia" w:ascii="仿宋" w:hAnsi="仿宋" w:eastAsia="仿宋" w:cs="仿宋"/>
          <w:spacing w:val="-5"/>
          <w:sz w:val="32"/>
          <w:szCs w:val="32"/>
          <w:highlight w:val="none"/>
          <w:lang w:val="en-US" w:eastAsia="zh-CN"/>
        </w:rPr>
        <w:t>金匠工业园区范围：东至晋济高速公路，南至规划晋济高速连接线，西至现状207国道，北至晋阳高速公路。规划面积16.70km</w:t>
      </w:r>
      <w:r>
        <w:rPr>
          <w:rFonts w:hint="eastAsia" w:ascii="仿宋" w:hAnsi="仿宋" w:eastAsia="仿宋" w:cs="仿宋"/>
          <w:spacing w:val="-5"/>
          <w:sz w:val="32"/>
          <w:szCs w:val="32"/>
          <w:highlight w:val="none"/>
          <w:vertAlign w:val="superscript"/>
          <w:lang w:val="en-US" w:eastAsia="zh-CN"/>
        </w:rPr>
        <w:t>2</w:t>
      </w:r>
      <w:r>
        <w:rPr>
          <w:rFonts w:hint="eastAsia" w:ascii="仿宋" w:hAnsi="仿宋" w:eastAsia="仿宋" w:cs="仿宋"/>
          <w:spacing w:val="-5"/>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黑体" w:cs="黑体"/>
          <w:b w:val="0"/>
          <w:bCs w:val="0"/>
          <w:spacing w:val="-5"/>
          <w:sz w:val="32"/>
          <w:szCs w:val="32"/>
          <w:highlight w:val="none"/>
          <w:lang w:eastAsia="zh-CN"/>
        </w:rPr>
      </w:pPr>
      <w:bookmarkStart w:id="12" w:name="_Toc16881"/>
      <w:bookmarkStart w:id="13" w:name="_Toc8533"/>
      <w:bookmarkStart w:id="14" w:name="_Toc12986"/>
      <w:bookmarkStart w:id="15" w:name="_Toc10733"/>
      <w:r>
        <w:rPr>
          <w:rFonts w:hint="eastAsia" w:ascii="Times New Roman" w:hAnsi="Times New Roman" w:eastAsia="黑体" w:cs="黑体"/>
          <w:b w:val="0"/>
          <w:bCs w:val="0"/>
          <w:spacing w:val="-5"/>
          <w:sz w:val="32"/>
          <w:szCs w:val="32"/>
          <w:highlight w:val="none"/>
          <w:lang w:val="en-US" w:eastAsia="zh-CN"/>
        </w:rPr>
        <w:t>五、</w:t>
      </w:r>
      <w:r>
        <w:rPr>
          <w:rFonts w:hint="eastAsia" w:ascii="Times New Roman" w:hAnsi="Times New Roman" w:eastAsia="黑体" w:cs="黑体"/>
          <w:b w:val="0"/>
          <w:bCs w:val="0"/>
          <w:spacing w:val="-5"/>
          <w:sz w:val="32"/>
          <w:szCs w:val="32"/>
          <w:highlight w:val="none"/>
          <w:lang w:eastAsia="zh-CN"/>
        </w:rPr>
        <w:t>适用时段</w:t>
      </w:r>
      <w:bookmarkEnd w:id="12"/>
      <w:bookmarkEnd w:id="13"/>
      <w:bookmarkEnd w:id="14"/>
      <w:bookmarkEnd w:id="15"/>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仿宋" w:cs="仿宋"/>
          <w:spacing w:val="-5"/>
          <w:sz w:val="32"/>
          <w:szCs w:val="32"/>
          <w:highlight w:val="none"/>
          <w:lang w:val="en-US" w:eastAsia="zh-CN"/>
        </w:rPr>
      </w:pPr>
      <w:r>
        <w:rPr>
          <w:rFonts w:hint="eastAsia" w:ascii="仿宋" w:hAnsi="仿宋" w:eastAsia="仿宋" w:cs="仿宋"/>
          <w:spacing w:val="-5"/>
          <w:sz w:val="32"/>
          <w:szCs w:val="32"/>
          <w:highlight w:val="none"/>
          <w:lang w:val="en-US" w:eastAsia="zh-CN"/>
        </w:rPr>
        <w:t>本区划适用的昼间、夜间时段分别为：昼间6:00～22:00，夜间22:00～次日6:00。</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黑体" w:cs="黑体"/>
          <w:b w:val="0"/>
          <w:bCs w:val="0"/>
          <w:spacing w:val="-5"/>
          <w:sz w:val="32"/>
          <w:szCs w:val="32"/>
          <w:lang w:eastAsia="zh-CN"/>
        </w:rPr>
      </w:pPr>
      <w:r>
        <w:rPr>
          <w:rFonts w:hint="eastAsia" w:ascii="Times New Roman" w:hAnsi="Times New Roman" w:eastAsia="黑体" w:cs="黑体"/>
          <w:b w:val="0"/>
          <w:bCs w:val="0"/>
          <w:spacing w:val="-5"/>
          <w:sz w:val="32"/>
          <w:szCs w:val="32"/>
          <w:lang w:eastAsia="zh-CN"/>
        </w:rPr>
        <w:t>六、声环境功能区分类和环境噪声限值</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b w:val="0"/>
          <w:bCs w:val="0"/>
          <w:spacing w:val="-5"/>
          <w:sz w:val="32"/>
          <w:szCs w:val="32"/>
          <w:highlight w:val="none"/>
        </w:rPr>
      </w:pPr>
      <w:r>
        <w:rPr>
          <w:rFonts w:hint="eastAsia" w:ascii="楷体_GB2312" w:hAnsi="楷体_GB2312" w:eastAsia="楷体_GB2312" w:cs="楷体_GB2312"/>
          <w:b w:val="0"/>
          <w:bCs w:val="0"/>
          <w:spacing w:val="-5"/>
          <w:sz w:val="32"/>
          <w:szCs w:val="32"/>
          <w:highlight w:val="none"/>
          <w:lang w:eastAsia="zh-CN"/>
        </w:rPr>
        <w:t>（</w:t>
      </w:r>
      <w:r>
        <w:rPr>
          <w:rFonts w:hint="eastAsia" w:ascii="楷体_GB2312" w:hAnsi="楷体_GB2312" w:eastAsia="楷体_GB2312" w:cs="楷体_GB2312"/>
          <w:b w:val="0"/>
          <w:bCs w:val="0"/>
          <w:spacing w:val="-5"/>
          <w:sz w:val="32"/>
          <w:szCs w:val="32"/>
          <w:highlight w:val="none"/>
        </w:rPr>
        <w:t>一</w:t>
      </w:r>
      <w:r>
        <w:rPr>
          <w:rFonts w:hint="eastAsia" w:ascii="楷体_GB2312" w:hAnsi="楷体_GB2312" w:eastAsia="楷体_GB2312" w:cs="楷体_GB2312"/>
          <w:b w:val="0"/>
          <w:bCs w:val="0"/>
          <w:spacing w:val="-5"/>
          <w:sz w:val="32"/>
          <w:szCs w:val="32"/>
          <w:highlight w:val="none"/>
          <w:lang w:eastAsia="zh-CN"/>
        </w:rPr>
        <w:t>）</w:t>
      </w:r>
      <w:r>
        <w:rPr>
          <w:rFonts w:hint="eastAsia" w:ascii="楷体_GB2312" w:hAnsi="楷体_GB2312" w:eastAsia="楷体_GB2312" w:cs="楷体_GB2312"/>
          <w:b w:val="0"/>
          <w:bCs w:val="0"/>
          <w:spacing w:val="-5"/>
          <w:sz w:val="32"/>
          <w:szCs w:val="32"/>
          <w:highlight w:val="none"/>
        </w:rPr>
        <w:t>声环境功能区分类</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依据《声环境质量标准》（GB3096—2008），按区域的使用功能特点和环境质量要求，声环境功能区分为以下五类：</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0类声环境功能区：指康复疗养区等特别需要安静的区域。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1类声环境功能区：指以居民住宅、医疗卫生、文化教育、科研设计、行政办公为主要功能，需要保持安静的区域。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2类声环境功能区：指以商业金融、集市贸易为主要功能，或者居住、商业、工业混杂，需要维护住宅安静的区域。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3类声环境功能区：指以工业生产、仓储物流为主要功能，需要防止工业噪声对周围环境产生严重影响的区域。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4类声环境功能区：指交通干线两侧一定距离之内，需要防止交通噪声对周围环境产生严重影响的区域，包括4a类和4b类两种类型。4a类为高速公路、一级公路、二级公路、城市快速路、城市主干路、城市次干路、城市轨道交通（地面段）、内河航道两侧区域；4b类为铁路干线两侧区域。铁路和城市轨道交通（地面）场站、公交枢纽、港口站场、高速公路服务区等具有一定规模的交通服务区域，划为4a类或4b类声环境功能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b w:val="0"/>
          <w:bCs w:val="0"/>
          <w:spacing w:val="-5"/>
          <w:sz w:val="32"/>
          <w:szCs w:val="32"/>
          <w:highlight w:val="none"/>
          <w:lang w:val="en-US" w:eastAsia="zh-CN"/>
        </w:rPr>
      </w:pPr>
      <w:bookmarkStart w:id="16" w:name="_Toc31204"/>
      <w:bookmarkStart w:id="17" w:name="_Toc3350"/>
      <w:bookmarkStart w:id="18" w:name="_Toc7524"/>
      <w:bookmarkStart w:id="19" w:name="_Toc20027"/>
      <w:r>
        <w:rPr>
          <w:rFonts w:hint="eastAsia" w:ascii="楷体_GB2312" w:hAnsi="楷体_GB2312" w:eastAsia="楷体_GB2312" w:cs="楷体_GB2312"/>
          <w:b w:val="0"/>
          <w:bCs w:val="0"/>
          <w:spacing w:val="-5"/>
          <w:sz w:val="32"/>
          <w:szCs w:val="32"/>
          <w:highlight w:val="none"/>
          <w:lang w:val="en-US" w:eastAsia="zh-CN"/>
        </w:rPr>
        <w:t>（二）环境噪声限值</w:t>
      </w:r>
      <w:bookmarkEnd w:id="16"/>
      <w:bookmarkEnd w:id="17"/>
      <w:bookmarkEnd w:id="18"/>
      <w:bookmarkEnd w:id="19"/>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依据《声环境质量标准》（GB3096—2008），各类声环境功能区环境噪声等效声级限值如下：</w:t>
      </w:r>
    </w:p>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outlineLvl w:val="3"/>
        <w:rPr>
          <w:rFonts w:hint="eastAsia" w:ascii="Times New Roman" w:hAnsi="Times New Roman" w:eastAsia="仿宋" w:cs="仿宋"/>
          <w:spacing w:val="-5"/>
          <w:sz w:val="32"/>
          <w:szCs w:val="32"/>
          <w:lang w:val="zh-CN" w:eastAsia="zh-CN"/>
        </w:rPr>
      </w:pPr>
      <w:r>
        <w:rPr>
          <w:rFonts w:hint="eastAsia" w:ascii="Times New Roman" w:hAnsi="Times New Roman" w:eastAsia="仿宋"/>
          <w:b/>
          <w:caps w:val="0"/>
          <w:color w:val="auto"/>
          <w:sz w:val="28"/>
          <w:szCs w:val="28"/>
          <w:highlight w:val="none"/>
          <w:lang w:val="en-US" w:eastAsia="zh-CN"/>
        </w:rPr>
        <w:t xml:space="preserve">                 </w:t>
      </w:r>
      <w:r>
        <w:rPr>
          <w:rFonts w:hint="eastAsia" w:ascii="Times New Roman" w:hAnsi="Times New Roman" w:eastAsia="仿宋" w:cs="仿宋"/>
          <w:spacing w:val="-5"/>
          <w:sz w:val="32"/>
          <w:szCs w:val="32"/>
          <w:lang w:val="en-US" w:eastAsia="zh-CN"/>
        </w:rPr>
        <w:t xml:space="preserve"> </w:t>
      </w:r>
      <w:r>
        <w:rPr>
          <w:rFonts w:hint="eastAsia" w:ascii="Times New Roman" w:hAnsi="Times New Roman" w:eastAsia="仿宋" w:cs="仿宋"/>
          <w:spacing w:val="-5"/>
          <w:sz w:val="32"/>
          <w:szCs w:val="32"/>
          <w:lang w:val="zh-CN" w:eastAsia="zh-CN"/>
        </w:rPr>
        <w:t>表</w:t>
      </w:r>
      <w:r>
        <w:rPr>
          <w:rFonts w:hint="eastAsia" w:ascii="Times New Roman" w:hAnsi="Times New Roman" w:eastAsia="仿宋" w:cs="仿宋"/>
          <w:spacing w:val="-5"/>
          <w:sz w:val="32"/>
          <w:szCs w:val="32"/>
          <w:lang w:val="en-US" w:eastAsia="zh-CN"/>
        </w:rPr>
        <w:t>1</w:t>
      </w:r>
      <w:r>
        <w:rPr>
          <w:rFonts w:hint="eastAsia" w:ascii="Times New Roman" w:hAnsi="Times New Roman" w:eastAsia="仿宋" w:cs="仿宋"/>
          <w:spacing w:val="-5"/>
          <w:sz w:val="32"/>
          <w:szCs w:val="32"/>
          <w:lang w:val="zh-CN" w:eastAsia="zh-CN"/>
        </w:rPr>
        <w:t>环境噪声限值</w:t>
      </w:r>
      <w:r>
        <w:rPr>
          <w:rFonts w:hint="eastAsia" w:ascii="Times New Roman" w:hAnsi="Times New Roman" w:eastAsia="仿宋" w:cs="仿宋"/>
          <w:spacing w:val="-5"/>
          <w:sz w:val="32"/>
          <w:szCs w:val="32"/>
          <w:lang w:val="en-US" w:eastAsia="zh-CN"/>
        </w:rPr>
        <w:t xml:space="preserve">                </w:t>
      </w:r>
      <w:r>
        <w:rPr>
          <w:rFonts w:hint="eastAsia" w:ascii="Times New Roman" w:hAnsi="Times New Roman" w:eastAsia="仿宋" w:cs="仿宋"/>
          <w:spacing w:val="-5"/>
          <w:sz w:val="32"/>
          <w:szCs w:val="32"/>
          <w:lang w:val="zh-CN" w:eastAsia="zh-CN"/>
        </w:rPr>
        <w:t>单位dB(A)</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350"/>
        <w:gridCol w:w="2350"/>
        <w:gridCol w:w="2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00" w:type="pct"/>
            <w:gridSpan w:val="2"/>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声环境功能区类别</w:t>
            </w:r>
          </w:p>
        </w:tc>
        <w:tc>
          <w:tcPr>
            <w:tcW w:w="2500" w:type="pct"/>
            <w:gridSpan w:val="2"/>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时段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00"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昼间</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00" w:type="pct"/>
            <w:gridSpan w:val="2"/>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0类</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50</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00" w:type="pct"/>
            <w:gridSpan w:val="2"/>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1类</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55</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00" w:type="pct"/>
            <w:gridSpan w:val="2"/>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2类</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60</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00" w:type="pct"/>
            <w:gridSpan w:val="2"/>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3类</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65</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0"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4类</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4a</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70</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4b</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70</w:t>
            </w:r>
          </w:p>
        </w:tc>
        <w:tc>
          <w:tcPr>
            <w:tcW w:w="125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eastAsia="仿宋"/>
                <w:caps w:val="0"/>
                <w:color w:val="auto"/>
                <w:sz w:val="24"/>
                <w:szCs w:val="24"/>
                <w:highlight w:val="none"/>
              </w:rPr>
            </w:pPr>
            <w:r>
              <w:rPr>
                <w:rFonts w:ascii="Times New Roman" w:hAnsi="Times New Roman" w:eastAsia="仿宋"/>
                <w:caps w:val="0"/>
                <w:color w:val="auto"/>
                <w:sz w:val="24"/>
                <w:szCs w:val="24"/>
                <w:highlight w:val="none"/>
              </w:rPr>
              <w:t>60</w:t>
            </w:r>
          </w:p>
        </w:tc>
      </w:tr>
    </w:tbl>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黑体" w:cs="黑体"/>
          <w:b w:val="0"/>
          <w:bCs w:val="0"/>
          <w:spacing w:val="-5"/>
          <w:sz w:val="32"/>
          <w:szCs w:val="32"/>
          <w:lang w:val="en-US" w:eastAsia="zh-CN"/>
        </w:rPr>
      </w:pPr>
      <w:bookmarkStart w:id="20" w:name="_Toc31154"/>
      <w:bookmarkStart w:id="21" w:name="_Toc21304"/>
      <w:bookmarkStart w:id="22" w:name="_Toc21550"/>
      <w:bookmarkStart w:id="23" w:name="_Toc10609"/>
      <w:r>
        <w:rPr>
          <w:rFonts w:hint="eastAsia" w:ascii="Times New Roman" w:hAnsi="Times New Roman" w:eastAsia="黑体" w:cs="黑体"/>
          <w:b w:val="0"/>
          <w:bCs w:val="0"/>
          <w:spacing w:val="-5"/>
          <w:sz w:val="32"/>
          <w:szCs w:val="32"/>
          <w:lang w:val="en-US" w:eastAsia="zh-CN"/>
        </w:rPr>
        <w:t>七、声环境功能区划分方案</w:t>
      </w:r>
      <w:bookmarkEnd w:id="20"/>
      <w:bookmarkEnd w:id="21"/>
      <w:bookmarkEnd w:id="22"/>
      <w:bookmarkEnd w:id="23"/>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bookmarkStart w:id="24" w:name="_Toc377080230"/>
      <w:bookmarkEnd w:id="24"/>
      <w:r>
        <w:rPr>
          <w:rFonts w:hint="eastAsia" w:ascii="仿宋" w:hAnsi="仿宋" w:eastAsia="仿宋" w:cs="仿宋"/>
          <w:spacing w:val="-5"/>
          <w:sz w:val="32"/>
          <w:szCs w:val="32"/>
          <w:highlight w:val="none"/>
          <w:lang w:val="en-US" w:eastAsia="zh-CN"/>
        </w:rPr>
        <w:t>本次声功能区划范围包括晋城市主城区、金匠工业园区及北石店片区，总面积为84.25km</w:t>
      </w:r>
      <w:r>
        <w:rPr>
          <w:rFonts w:hint="eastAsia" w:ascii="仿宋" w:hAnsi="仿宋" w:eastAsia="仿宋" w:cs="仿宋"/>
          <w:spacing w:val="-5"/>
          <w:sz w:val="32"/>
          <w:szCs w:val="32"/>
          <w:highlight w:val="none"/>
          <w:vertAlign w:val="superscript"/>
          <w:lang w:val="en-US" w:eastAsia="zh-CN"/>
        </w:rPr>
        <w:t>2</w:t>
      </w:r>
      <w:r>
        <w:rPr>
          <w:rFonts w:hint="eastAsia" w:ascii="仿宋" w:hAnsi="仿宋" w:eastAsia="仿宋" w:cs="仿宋"/>
          <w:spacing w:val="-5"/>
          <w:sz w:val="32"/>
          <w:szCs w:val="32"/>
          <w:highlight w:val="none"/>
          <w:lang w:val="en-US" w:eastAsia="zh-CN"/>
        </w:rPr>
        <w:t>。本次划分将晋城市规划区划分为4类声环境功能适用区域：无0类区，1类区两个，2类区六个，3类区三个，沿城市道路两侧、晋城市客运东站区域为4a类区，铁</w:t>
      </w:r>
      <w:r>
        <w:rPr>
          <w:rFonts w:hint="eastAsia" w:ascii="仿宋" w:hAnsi="仿宋" w:eastAsia="仿宋" w:cs="仿宋"/>
          <w:spacing w:val="-5"/>
          <w:sz w:val="32"/>
          <w:szCs w:val="32"/>
          <w:lang w:val="en-US" w:eastAsia="zh-CN"/>
        </w:rPr>
        <w:t>路两侧及晋城站、晋城北站区域为4b类区。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b w:val="0"/>
          <w:bCs w:val="0"/>
          <w:spacing w:val="-5"/>
          <w:sz w:val="32"/>
          <w:szCs w:val="32"/>
          <w:highlight w:val="none"/>
          <w:lang w:val="en-US" w:eastAsia="zh-CN"/>
        </w:rPr>
      </w:pPr>
      <w:r>
        <w:rPr>
          <w:rFonts w:hint="eastAsia" w:ascii="楷体_GB2312" w:hAnsi="楷体_GB2312" w:eastAsia="楷体_GB2312" w:cs="楷体_GB2312"/>
          <w:b w:val="0"/>
          <w:bCs w:val="0"/>
          <w:spacing w:val="-5"/>
          <w:sz w:val="32"/>
          <w:szCs w:val="32"/>
          <w:highlight w:val="none"/>
          <w:lang w:val="en-US" w:eastAsia="zh-CN"/>
        </w:rPr>
        <w:t>（一）0类声环境功能区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无0类区。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b w:val="0"/>
          <w:bCs w:val="0"/>
          <w:spacing w:val="-5"/>
          <w:sz w:val="32"/>
          <w:szCs w:val="32"/>
          <w:highlight w:val="none"/>
          <w:lang w:val="en-US" w:eastAsia="zh-CN"/>
        </w:rPr>
      </w:pPr>
      <w:r>
        <w:rPr>
          <w:rFonts w:hint="eastAsia" w:ascii="楷体_GB2312" w:hAnsi="楷体_GB2312" w:eastAsia="楷体_GB2312" w:cs="楷体_GB2312"/>
          <w:b w:val="0"/>
          <w:bCs w:val="0"/>
          <w:spacing w:val="-5"/>
          <w:sz w:val="32"/>
          <w:szCs w:val="32"/>
          <w:highlight w:val="none"/>
          <w:lang w:val="en-US" w:eastAsia="zh-CN"/>
        </w:rPr>
        <w:t>（二）“1类”区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执行标准：昼间限值55dB(A)，夜间限值45dB(A)。</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（1）主城区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I区面积16.53平方公里，主要位于主城区北部，区域边界北至区划北界北环路，南至中原东街，西至景忠路—书院街—泽州北路—太岳街—太行路—红星街—黄花街—文昌东街—泽州南路，东至兰花路—弘泽街—孟金路—太焦铁路—区划东界东环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（2）金匠工业园区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不设1类功能区。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（3）北石店片区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1-Ⅱ类功能区总面积是3.827平方公里，主要位于北石店中部，边界范围北至区划北界规划陵沁路，西至畅安路—兴安街—永安路—百灵街—北石店铁路，南至区划南界北环路，东至人和路。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b w:val="0"/>
          <w:bCs w:val="0"/>
          <w:spacing w:val="-5"/>
          <w:sz w:val="32"/>
          <w:szCs w:val="32"/>
          <w:highlight w:val="none"/>
          <w:lang w:val="en-US" w:eastAsia="zh-CN"/>
        </w:rPr>
      </w:pPr>
      <w:r>
        <w:rPr>
          <w:rFonts w:hint="eastAsia" w:ascii="楷体_GB2312" w:hAnsi="楷体_GB2312" w:eastAsia="楷体_GB2312" w:cs="楷体_GB2312"/>
          <w:b w:val="0"/>
          <w:bCs w:val="0"/>
          <w:spacing w:val="-5"/>
          <w:sz w:val="32"/>
          <w:szCs w:val="32"/>
          <w:highlight w:val="none"/>
          <w:lang w:val="en-US" w:eastAsia="zh-CN"/>
        </w:rPr>
        <w:t>（三）“2类”区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执行标准：昼间限值60dB(A)，夜间限值50dB(A)。</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（1）主城区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2类区有两个区域：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I面积33.13平方公里，主要位于城区西部，区域边界北至区划北界北环路，南至规划南环路，西至区划西界西环路，东至景忠路—书院街—泽州北路—太岳街—太行路—红星街—黄花街—文昌东街—泽州南路—中原东街—兰花路—弘泽街—孟金路—太焦铁路—红星东街—区划东界东环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2-II面积1.94平方公里，主要位于城区东部，区域边界西北至金凤路，南至规划怡景街，北至太岳街，东至规划东环路。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（2）金匠工业园区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类区有一个区域，面积15.713平方公里。区域边界北至区划北界晋侯高速公路—金鼎路—新兴街—络桦路—顺安街，南至区划南界规划晋济高速连接线，西至区划西界牛浪路，东至艮渊路—二淅线—金匠村东500m—苇元村东。</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（3）北石店片区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2类区有三个区域：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2-IV面积4.021平方公里，主要位于北石店片区西北部，边界范围北至区划北界规划陵沁路，西南至长晋线—尚安街，东至矿电东路—泰信街—丰金路—凤凰山路—矿电路。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2-V面积1.350平方公里，主要位于北石店片区西部，区域边界北至区划北界规划陵沁路，南至百灵街，西至永安路—泰信街—北石店铁路，东至永安路—兴安街—畅安路。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2-VI面积2.243平方公里，主要位于北石店片区东部，区域边界北至泰信街，南至永安路，西至人和路，东至规划东界惠晋路。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b w:val="0"/>
          <w:bCs w:val="0"/>
          <w:spacing w:val="-5"/>
          <w:sz w:val="32"/>
          <w:szCs w:val="32"/>
          <w:highlight w:val="none"/>
          <w:lang w:val="en-US" w:eastAsia="zh-CN"/>
        </w:rPr>
      </w:pPr>
      <w:r>
        <w:rPr>
          <w:rFonts w:hint="eastAsia" w:ascii="楷体_GB2312" w:hAnsi="楷体_GB2312" w:eastAsia="楷体_GB2312" w:cs="楷体_GB2312"/>
          <w:b w:val="0"/>
          <w:bCs w:val="0"/>
          <w:spacing w:val="-5"/>
          <w:sz w:val="32"/>
          <w:szCs w:val="32"/>
          <w:highlight w:val="none"/>
          <w:lang w:val="en-US" w:eastAsia="zh-CN"/>
        </w:rPr>
        <w:t>（四）“3类”区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执行标准：昼间限值65dB(A)，夜间限值55dB(A)。</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（1）主城区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3类区有一个区域，面积3.40平方公里，主要位于城区东部，区域边界北至东外环路，南至红星东街，西至太焦铁路—金凤路，东至金凤路—怡景街—东外环路。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（2）金匠工业园区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3类区有一个区域，面积0.986平方公里。区域边界北至顺安街，西至金鼎路，南至新兴街，东至络桦路。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（3）北石店片区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3类区有一个区域，面积1.110平方公里，主要位于北石店片区西北部，区域边界北至规划陵沁路—矿电东路—泰信街，南至铁路线，西至丰金路—凤凰山路—矿电路，东至北石店铁路—凤凰山路—永安路。</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楷体_GB2312" w:hAnsi="楷体_GB2312" w:eastAsia="楷体_GB2312" w:cs="楷体_GB2312"/>
          <w:b w:val="0"/>
          <w:bCs w:val="0"/>
          <w:spacing w:val="-5"/>
          <w:sz w:val="32"/>
          <w:szCs w:val="32"/>
          <w:highlight w:val="none"/>
          <w:lang w:val="en-US" w:eastAsia="zh-CN"/>
        </w:rPr>
      </w:pPr>
      <w:r>
        <w:rPr>
          <w:rFonts w:hint="eastAsia" w:ascii="楷体_GB2312" w:hAnsi="楷体_GB2312" w:eastAsia="楷体_GB2312" w:cs="楷体_GB2312"/>
          <w:b w:val="0"/>
          <w:bCs w:val="0"/>
          <w:spacing w:val="-5"/>
          <w:sz w:val="32"/>
          <w:szCs w:val="32"/>
          <w:highlight w:val="none"/>
          <w:lang w:val="en-US" w:eastAsia="zh-CN"/>
        </w:rPr>
        <w:t>（五）“4类”区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（1）4a类声环境功能适用区域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4a类执行标准：昼间限值70dB(A)，夜间限值55dB(A)。</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规划区域内高速公路、一级公路、二级公路、城市快速路、城市主干路、城市次干路等两侧区域及晋城市客运东站区域划分为4a类区。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16"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6"/>
          <w:sz w:val="32"/>
          <w:szCs w:val="32"/>
        </w:rPr>
        <w:t>①</w:t>
      </w:r>
      <w:r>
        <w:rPr>
          <w:rFonts w:hint="eastAsia" w:ascii="仿宋" w:hAnsi="仿宋" w:eastAsia="仿宋" w:cs="仿宋"/>
          <w:spacing w:val="-5"/>
          <w:sz w:val="32"/>
          <w:szCs w:val="32"/>
          <w:lang w:val="en-US" w:eastAsia="zh-CN"/>
        </w:rPr>
        <w:t>主城区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主要为文博路、泽州路、景西路、西环路、东西大街、凤台街、中原街、白水街、南环路、北环路、东环路、书院街、晓庄北路、新市街、红星街、文昌街、电厂路、建设路、苑北路、兰花路、凤城路、黄花街、太行路、吕匠路、回军路等道路两侧区域以及晋城市客运东站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color w:val="auto"/>
          <w:spacing w:val="-5"/>
          <w:sz w:val="32"/>
          <w:szCs w:val="32"/>
          <w:highlight w:val="none"/>
          <w:lang w:val="en-US" w:eastAsia="zh-CN"/>
        </w:rPr>
        <w:t>②</w:t>
      </w:r>
      <w:r>
        <w:rPr>
          <w:rFonts w:hint="eastAsia" w:ascii="仿宋" w:hAnsi="仿宋" w:eastAsia="仿宋" w:cs="仿宋"/>
          <w:spacing w:val="-5"/>
          <w:sz w:val="32"/>
          <w:szCs w:val="32"/>
          <w:lang w:val="en-US" w:eastAsia="zh-CN"/>
        </w:rPr>
        <w:t>金匠工业园区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主要为金鼎路、金匠街、金石路、顺安街、新兴街、西里街、流碑路、茶园路、络桦路、艮渊路以及区划范围内S86晋运高速公路、207国道、规划晋济高速连接线、S242陵沁线城区连接线等道路两侧区域。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color w:val="auto"/>
          <w:spacing w:val="-5"/>
          <w:sz w:val="32"/>
          <w:szCs w:val="32"/>
          <w:highlight w:val="none"/>
          <w:lang w:val="en-US" w:eastAsia="zh-CN"/>
        </w:rPr>
        <w:t>③</w:t>
      </w:r>
      <w:r>
        <w:rPr>
          <w:rFonts w:hint="eastAsia" w:ascii="仿宋" w:hAnsi="仿宋" w:eastAsia="仿宋" w:cs="仿宋"/>
          <w:spacing w:val="-5"/>
          <w:sz w:val="32"/>
          <w:szCs w:val="32"/>
          <w:lang w:val="en-US" w:eastAsia="zh-CN"/>
        </w:rPr>
        <w:t>北石店片区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主要为畅安路、迎旭街、尚安街、凤宏路、化工路、永安路、凤凰山路、泰信街、人和路、太丰路、文安街、百灵街以及区划范围内S227长晋线等道路两侧区域。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交通干线边界线：地面段城市道路以最外侧非机动车道路或机非混行道路外沿为边界；高路基城市道路以最外侧的边沟或路基边缘为边界；没有辅路的城市道路高架段以地面垂直投影的最外侧为边界；公路以公路路堤两侧排水沟外边缘（无排水沟时为路堤或护坡道坡脚）以外1m处，或路堑坡顶截水沟外边缘（无截水沟为坡顶）以外1m处为边界；没有辅路的高架公路按城市道路高架段情况处理。</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相邻区域为1类声环境功能区，距离为50m；相邻区域为2类声环境功能区，距离为35m；相邻区域为3类声环境功能区，距离为20m。</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当临街建筑高于三层楼房以上（含三层）时，将临街建筑面向交通干线一侧至交通干线边界线的区域定为4a类声环境功能区。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（2）4b类声环境功能适用区域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4b类执行标准：昼间限值70dB(A)，夜间限值60dB(A)。</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铁路干线两侧区域及晋城站、晋城北站区域划分为4b类。</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16"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6"/>
          <w:sz w:val="32"/>
          <w:szCs w:val="32"/>
        </w:rPr>
        <w:t>①</w:t>
      </w:r>
      <w:r>
        <w:rPr>
          <w:rFonts w:hint="eastAsia" w:ascii="仿宋" w:hAnsi="仿宋" w:eastAsia="仿宋" w:cs="仿宋"/>
          <w:spacing w:val="-5"/>
          <w:sz w:val="32"/>
          <w:szCs w:val="32"/>
          <w:lang w:val="en-US" w:eastAsia="zh-CN"/>
        </w:rPr>
        <w:t>主城区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4b类区域为太焦铁路两侧区域以及晋城站、晋城北站区域。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color w:val="auto"/>
          <w:spacing w:val="-5"/>
          <w:sz w:val="32"/>
          <w:szCs w:val="32"/>
          <w:highlight w:val="none"/>
          <w:lang w:val="en-US" w:eastAsia="zh-CN"/>
        </w:rPr>
        <w:t>②</w:t>
      </w:r>
      <w:r>
        <w:rPr>
          <w:rFonts w:hint="eastAsia" w:ascii="仿宋" w:hAnsi="仿宋" w:eastAsia="仿宋" w:cs="仿宋"/>
          <w:spacing w:val="-5"/>
          <w:sz w:val="32"/>
          <w:szCs w:val="32"/>
          <w:lang w:val="en-US" w:eastAsia="zh-CN"/>
        </w:rPr>
        <w:t>金匠工业园区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无4b类区域。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color w:val="auto"/>
          <w:spacing w:val="-5"/>
          <w:sz w:val="32"/>
          <w:szCs w:val="32"/>
          <w:highlight w:val="none"/>
          <w:lang w:val="en-US" w:eastAsia="zh-CN"/>
        </w:rPr>
        <w:t>③</w:t>
      </w:r>
      <w:r>
        <w:rPr>
          <w:rFonts w:hint="eastAsia" w:ascii="仿宋" w:hAnsi="仿宋" w:eastAsia="仿宋" w:cs="仿宋"/>
          <w:spacing w:val="-5"/>
          <w:sz w:val="32"/>
          <w:szCs w:val="32"/>
          <w:lang w:val="en-US" w:eastAsia="zh-CN"/>
        </w:rPr>
        <w:t>北石店片区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4b类区为北石店太焦铁路两侧区域。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太焦铁路外轨中心线外30m作为铁路边界，边界线外一定距离以内的区域划分为4b类声环境功能区。相邻区域为1类声环境功能区，距离为50m；相邻区域为2类声环境功能区，距离为35m；相邻区域为3类声环境功能区，距离为20m。</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Times New Roman" w:hAnsi="Times New Roman" w:eastAsia="仿宋" w:cs="仿宋"/>
          <w:spacing w:val="-5"/>
          <w:sz w:val="32"/>
          <w:szCs w:val="32"/>
          <w:lang w:val="en-US" w:eastAsia="zh-CN"/>
        </w:rPr>
      </w:pPr>
      <w:r>
        <w:rPr>
          <w:rFonts w:hint="eastAsia" w:ascii="仿宋" w:hAnsi="仿宋" w:eastAsia="仿宋" w:cs="仿宋"/>
          <w:spacing w:val="-5"/>
          <w:sz w:val="32"/>
          <w:szCs w:val="32"/>
          <w:lang w:val="en-US" w:eastAsia="zh-CN"/>
        </w:rPr>
        <w:t>对于4b类声环境功能区与4a类声环境功能区有重叠的部分，执行4b类声环境功能区。</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default" w:ascii="楷体_GB2312" w:hAnsi="楷体_GB2312" w:eastAsia="楷体_GB2312" w:cs="楷体_GB2312"/>
          <w:b w:val="0"/>
          <w:bCs w:val="0"/>
          <w:color w:val="auto"/>
          <w:spacing w:val="-5"/>
          <w:sz w:val="32"/>
          <w:szCs w:val="32"/>
          <w:highlight w:val="none"/>
          <w:lang w:val="en-US" w:eastAsia="zh-CN"/>
        </w:rPr>
      </w:pPr>
      <w:r>
        <w:rPr>
          <w:rFonts w:hint="eastAsia" w:ascii="楷体_GB2312" w:hAnsi="楷体_GB2312" w:eastAsia="楷体_GB2312" w:cs="楷体_GB2312"/>
          <w:b w:val="0"/>
          <w:bCs w:val="0"/>
          <w:color w:val="auto"/>
          <w:spacing w:val="-5"/>
          <w:sz w:val="32"/>
          <w:szCs w:val="32"/>
          <w:highlight w:val="none"/>
          <w:lang w:val="en-US" w:eastAsia="zh-CN"/>
        </w:rPr>
        <w:t>（六）其他规定</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color w:val="auto"/>
          <w:spacing w:val="-5"/>
          <w:sz w:val="32"/>
          <w:szCs w:val="32"/>
          <w:highlight w:val="none"/>
          <w:lang w:val="en-US" w:eastAsia="zh-CN"/>
        </w:rPr>
      </w:pPr>
      <w:r>
        <w:rPr>
          <w:rFonts w:hint="eastAsia" w:ascii="仿宋" w:hAnsi="仿宋" w:eastAsia="仿宋" w:cs="仿宋"/>
          <w:color w:val="auto"/>
          <w:spacing w:val="-5"/>
          <w:sz w:val="32"/>
          <w:szCs w:val="32"/>
          <w:highlight w:val="none"/>
          <w:lang w:val="en-US" w:eastAsia="zh-CN"/>
        </w:rPr>
        <w:t>城市规划区域外的周边乡村区域，位于乡村的康复疗养区执行0类声环境功能区要求；村庄原则上执行1类声环境功能区要求，工业活动较多的村庄以及有交通干线经过的村庄（指执行4类声环境功能区要求以外的地区）可局部或全部执行2类声环境功能区要求；集镇执行2类声环境功能区要求；独立于村庄、集镇之外的工业、仓储集中区执行3类声环境功能区要求；位于交通干线两侧一定距离（参考GB/T15190第8.3条规定）内的噪声敏感建筑物执行4类声环境功能区要求。</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晋城市城市区域声环境功能区划分调整结果图见附图1。</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20" w:firstLineChars="200"/>
        <w:jc w:val="both"/>
        <w:textAlignment w:val="auto"/>
        <w:rPr>
          <w:rFonts w:hint="eastAsia" w:ascii="仿宋" w:hAnsi="仿宋" w:eastAsia="仿宋" w:cs="仿宋"/>
          <w:spacing w:val="-5"/>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jc w:val="center"/>
        <w:textAlignment w:val="auto"/>
        <w:rPr>
          <w:rFonts w:hint="eastAsia" w:eastAsia="仿宋" w:cs="仿宋"/>
          <w:b w:val="0"/>
          <w:bCs w:val="0"/>
          <w:spacing w:val="-5"/>
          <w:sz w:val="32"/>
          <w:szCs w:val="32"/>
          <w:lang w:val="en-US" w:eastAsia="zh-CN"/>
        </w:rPr>
      </w:pPr>
      <w:r>
        <w:rPr>
          <w:rFonts w:hint="eastAsia" w:ascii="仿宋" w:hAnsi="仿宋" w:eastAsia="仿宋" w:cs="仿宋"/>
          <w:spacing w:val="-5"/>
          <w:sz w:val="32"/>
          <w:szCs w:val="32"/>
          <w:lang w:val="en-US" w:eastAsia="zh-CN"/>
        </w:rPr>
        <w:t xml:space="preserve"> </w:t>
      </w:r>
      <w:r>
        <w:rPr>
          <w:rFonts w:hint="default" w:ascii="Times New Roman" w:hAnsi="Times New Roman" w:eastAsia="宋体" w:cs="Times New Roman"/>
          <w:caps w:val="0"/>
          <w:color w:val="000000"/>
          <w:sz w:val="24"/>
          <w:szCs w:val="28"/>
          <w:highlight w:val="none"/>
        </w:rPr>
        <w:drawing>
          <wp:anchor distT="0" distB="0" distL="114300" distR="114300" simplePos="0" relativeHeight="251659264" behindDoc="1" locked="0" layoutInCell="1" allowOverlap="1">
            <wp:simplePos x="0" y="0"/>
            <wp:positionH relativeFrom="column">
              <wp:posOffset>10160</wp:posOffset>
            </wp:positionH>
            <wp:positionV relativeFrom="paragraph">
              <wp:posOffset>360680</wp:posOffset>
            </wp:positionV>
            <wp:extent cx="5810250" cy="8214995"/>
            <wp:effectExtent l="19050" t="19050" r="57150" b="71755"/>
            <wp:wrapTight wrapText="bothSides">
              <wp:wrapPolygon>
                <wp:start x="-71" y="-50"/>
                <wp:lineTo x="-71" y="21588"/>
                <wp:lineTo x="21600" y="21588"/>
                <wp:lineTo x="21600" y="-50"/>
                <wp:lineTo x="-71" y="-50"/>
              </wp:wrapPolygon>
            </wp:wrapTight>
            <wp:docPr id="1" name="图片 2" descr="7最终划分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最终划分结果"/>
                    <pic:cNvPicPr>
                      <a:picLocks noChangeAspect="1"/>
                    </pic:cNvPicPr>
                  </pic:nvPicPr>
                  <pic:blipFill>
                    <a:blip r:embed="rId7"/>
                    <a:stretch>
                      <a:fillRect/>
                    </a:stretch>
                  </pic:blipFill>
                  <pic:spPr>
                    <a:xfrm>
                      <a:off x="0" y="0"/>
                      <a:ext cx="5810250" cy="8214995"/>
                    </a:xfrm>
                    <a:prstGeom prst="rect">
                      <a:avLst/>
                    </a:prstGeom>
                    <a:noFill/>
                    <a:ln w="19050" cap="flat" cmpd="sng">
                      <a:solidFill>
                        <a:srgbClr val="000000"/>
                      </a:solidFill>
                      <a:prstDash val="solid"/>
                      <a:miter/>
                      <a:headEnd type="none" w="med" len="med"/>
                      <a:tailEnd type="none" w="med" len="med"/>
                    </a:ln>
                  </pic:spPr>
                </pic:pic>
              </a:graphicData>
            </a:graphic>
          </wp:anchor>
        </w:drawing>
      </w:r>
      <w:r>
        <w:rPr>
          <w:rFonts w:hint="eastAsia" w:eastAsia="仿宋" w:cs="仿宋"/>
          <w:b w:val="0"/>
          <w:bCs w:val="0"/>
          <w:spacing w:val="-5"/>
          <w:sz w:val="32"/>
          <w:szCs w:val="32"/>
          <w:lang w:val="en-US" w:eastAsia="zh-CN"/>
        </w:rPr>
        <w:t>晋城市城市区域声环境功能区划分调整结果图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jc w:val="both"/>
        <w:textAlignment w:val="auto"/>
        <w:rPr>
          <w:rFonts w:hint="default" w:eastAsia="仿宋" w:cs="仿宋"/>
          <w:b w:val="0"/>
          <w:bCs w:val="0"/>
          <w:spacing w:val="-5"/>
          <w:sz w:val="32"/>
          <w:szCs w:val="32"/>
          <w:lang w:val="en-US" w:eastAsia="zh-CN"/>
        </w:rPr>
      </w:pPr>
    </w:p>
    <w:sectPr>
      <w:footerReference r:id="rId5" w:type="default"/>
      <w:pgSz w:w="11906" w:h="16838"/>
      <w:pgMar w:top="1304" w:right="1304" w:bottom="1304" w:left="1418" w:header="737" w:footer="340" w:gutter="0"/>
      <w:pgBorders>
        <w:top w:val="none" w:sz="0" w:space="0"/>
        <w:left w:val="none" w:sz="0" w:space="0"/>
        <w:bottom w:val="none" w:sz="0" w:space="0"/>
        <w:right w:val="none" w:sz="0" w:space="0"/>
      </w:pgBorders>
      <w:pgNumType w:fmt="decimal"/>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148"/>
      <w:jc w:val="right"/>
      <w:rPr>
        <w:rFonts w:ascii="宋体" w:hAnsi="宋体" w:eastAsia="宋体" w:cs="宋体"/>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YjQ0MTEyMzczMjRiOTAwMTMxODc5NDAzNzM4NDQifQ=="/>
  </w:docVars>
  <w:rsids>
    <w:rsidRoot w:val="653421CA"/>
    <w:rsid w:val="01B666C0"/>
    <w:rsid w:val="046C750A"/>
    <w:rsid w:val="0526590B"/>
    <w:rsid w:val="0728596A"/>
    <w:rsid w:val="078E2CF2"/>
    <w:rsid w:val="08BF22FE"/>
    <w:rsid w:val="09BC46FB"/>
    <w:rsid w:val="09EC6F0A"/>
    <w:rsid w:val="0D3112F1"/>
    <w:rsid w:val="18BA03EC"/>
    <w:rsid w:val="196952B8"/>
    <w:rsid w:val="24C820E3"/>
    <w:rsid w:val="25117BA7"/>
    <w:rsid w:val="252443F0"/>
    <w:rsid w:val="299A22A0"/>
    <w:rsid w:val="2D0F6B01"/>
    <w:rsid w:val="2EFE507F"/>
    <w:rsid w:val="314D19A6"/>
    <w:rsid w:val="331A118A"/>
    <w:rsid w:val="338673F1"/>
    <w:rsid w:val="33A1422B"/>
    <w:rsid w:val="340F388A"/>
    <w:rsid w:val="38BF5FCA"/>
    <w:rsid w:val="3AA03BFF"/>
    <w:rsid w:val="3B0E3702"/>
    <w:rsid w:val="3FFD0A3B"/>
    <w:rsid w:val="43C55DD9"/>
    <w:rsid w:val="43E75450"/>
    <w:rsid w:val="471054F8"/>
    <w:rsid w:val="48D10CB7"/>
    <w:rsid w:val="4A281075"/>
    <w:rsid w:val="531B14AC"/>
    <w:rsid w:val="55BD13DA"/>
    <w:rsid w:val="59FD53CA"/>
    <w:rsid w:val="5E5E28EA"/>
    <w:rsid w:val="653421CA"/>
    <w:rsid w:val="6594598E"/>
    <w:rsid w:val="675E74E0"/>
    <w:rsid w:val="69E91EAC"/>
    <w:rsid w:val="6BD6C234"/>
    <w:rsid w:val="724D0AFE"/>
    <w:rsid w:val="73BB16F3"/>
    <w:rsid w:val="7B767318"/>
    <w:rsid w:val="7FFB3256"/>
    <w:rsid w:val="B57F2169"/>
    <w:rsid w:val="CF27CB0D"/>
    <w:rsid w:val="D8E7A967"/>
    <w:rsid w:val="FB9DB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FangSong_GB2312" w:cs="Times New Roman"/>
      <w:kern w:val="2"/>
      <w:sz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00" w:lineRule="exact"/>
      <w:ind w:firstLine="560"/>
    </w:pPr>
    <w:rPr>
      <w:rFonts w:ascii="FangSong_GB2312"/>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二-佳佳"/>
    <w:basedOn w:val="8"/>
    <w:qFormat/>
    <w:uiPriority w:val="0"/>
    <w:pPr>
      <w:jc w:val="left"/>
    </w:pPr>
    <w:rPr>
      <w:sz w:val="32"/>
    </w:rPr>
  </w:style>
  <w:style w:type="paragraph" w:customStyle="1" w:styleId="8">
    <w:name w:val="一-佳佳"/>
    <w:basedOn w:val="9"/>
    <w:qFormat/>
    <w:uiPriority w:val="0"/>
    <w:pPr>
      <w:spacing w:before="50" w:after="50" w:line="480" w:lineRule="auto"/>
      <w:jc w:val="center"/>
      <w:outlineLvl w:val="0"/>
    </w:pPr>
    <w:rPr>
      <w:sz w:val="44"/>
      <w:szCs w:val="28"/>
    </w:rPr>
  </w:style>
  <w:style w:type="paragraph" w:customStyle="1" w:styleId="9">
    <w:name w:val="标题2-佳佳"/>
    <w:basedOn w:val="1"/>
    <w:qFormat/>
    <w:uiPriority w:val="0"/>
    <w:pPr>
      <w:spacing w:beforeLines="50" w:afterLines="50"/>
      <w:outlineLvl w:val="1"/>
    </w:pPr>
    <w:rPr>
      <w:b/>
      <w:sz w:val="30"/>
      <w:szCs w:val="30"/>
    </w:rPr>
  </w:style>
  <w:style w:type="paragraph" w:customStyle="1" w:styleId="10">
    <w:name w:val="无间隔1"/>
    <w:qFormat/>
    <w:uiPriority w:val="0"/>
    <w:rPr>
      <w:rFonts w:ascii="Times New Roman" w:hAnsi="Times New Roman" w:eastAsia="宋体" w:cs="Times New Roman"/>
      <w:sz w:val="22"/>
      <w:szCs w:val="22"/>
      <w:lang w:val="en-US" w:eastAsia="en-US" w:bidi="en-US"/>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4394</Words>
  <Characters>4695</Characters>
  <Lines>0</Lines>
  <Paragraphs>0</Paragraphs>
  <TotalTime>44</TotalTime>
  <ScaleCrop>false</ScaleCrop>
  <LinksUpToDate>false</LinksUpToDate>
  <CharactersWithSpaces>4733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2023-10-10T23:35:00Z</dcterms:created>
  <dc:creator>何庆宏</dc:creator>
  <cp:lastModifiedBy>WPS_1590550436</cp:lastModifiedBy>
  <cp:lastPrinted>2023-10-19T10:47:00Z</cp:lastPrinted>
  <dcterms:modified xsi:type="dcterms:W3CDTF">2023-10-23T09:42:41Z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333B06EED07644F0A85AC47D8BFC56D4_13</vt:lpwstr>
  </property>
</Properties>
</file>