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晋城市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商务局</w:t>
      </w:r>
    </w:p>
    <w:p>
      <w:pPr>
        <w:spacing w:line="58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年政府信息公开工作年度报告</w:t>
      </w:r>
    </w:p>
    <w:p>
      <w:pPr>
        <w:spacing w:line="586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numPr>
          <w:ilvl w:val="0"/>
          <w:numId w:val="1"/>
        </w:numPr>
        <w:spacing w:line="58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numPr>
          <w:ilvl w:val="0"/>
          <w:numId w:val="0"/>
        </w:numPr>
        <w:spacing w:line="586" w:lineRule="exact"/>
        <w:ind w:firstLine="640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根据《中华人民共和国政府信息公开条例》规定，现向社会公布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晋城市商务局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信息公开工作年度报告。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本报告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内容涵盖市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商务局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年1月1日至12月31日期间的政府信息公开工作情况。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本年度报告的电子版可在晋城市商务局官网（http://jcswj.jcgov.gov.cn/） 下载。如对本年度报告有任何疑问，请与晋城市商务局联系（地址：晋城市文昌西街623号；邮编：048000；电话：0356—2024190；电子邮箱：jcsswj@126.com）</w:t>
      </w:r>
    </w:p>
    <w:p>
      <w:pPr>
        <w:numPr>
          <w:ilvl w:val="0"/>
          <w:numId w:val="0"/>
        </w:numPr>
        <w:spacing w:line="586" w:lineRule="exact"/>
        <w:ind w:firstLine="64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年，市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商务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局严格按照市政务公开工作领导小组的工作要求，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根据《中华人民共和国政府信息公开条例》要求和国家、省及市的相关文件精神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，规范信息公开程序，加强信息公开审查，拓宽信息公开渠道，有序推进全局政府信息公开工作。</w:t>
      </w:r>
    </w:p>
    <w:p>
      <w:pPr>
        <w:numPr>
          <w:numId w:val="0"/>
        </w:numPr>
        <w:spacing w:line="586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主动公开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>
      <w:pPr>
        <w:numPr>
          <w:ilvl w:val="0"/>
          <w:numId w:val="0"/>
        </w:numPr>
        <w:spacing w:line="586" w:lineRule="exact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我局严格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规范政务信息公开程序，加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强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公开内容和形式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审查，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严格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信息公开保密审查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对政府信息公开的每一个栏目内容都力争做到及时更新，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2022年，我局共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在政府信息公开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目录上主动公开政府信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息总数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140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条，其中工作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动态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111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人事信息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2条，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建议提案答复18条，法治政府5条，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财政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预决算4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</w:rPr>
        <w:t>条。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在工作动态栏目中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全面反映商务工作情况，全面提升我局政府信息公开工作水平。</w:t>
      </w:r>
    </w:p>
    <w:p>
      <w:pPr>
        <w:numPr>
          <w:numId w:val="0"/>
        </w:numPr>
        <w:spacing w:line="586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依申请公开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2022年，我局无依申请公开政府信息的情况。</w:t>
      </w:r>
    </w:p>
    <w:p>
      <w:pPr>
        <w:numPr>
          <w:numId w:val="0"/>
        </w:numPr>
        <w:spacing w:line="586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政府信息管理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>
      <w:pPr>
        <w:numPr>
          <w:ilvl w:val="0"/>
          <w:numId w:val="0"/>
        </w:numPr>
        <w:spacing w:line="586" w:lineRule="exact"/>
        <w:ind w:leftChars="1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我局指定本局办公室负责政府信息公开工作，严格落实《晋城市商务局信息网站和新媒体平台管理办法》要求，严格落实“三审三签”制度，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保证信息发布的及时性、准确性和有效性。</w:t>
      </w:r>
    </w:p>
    <w:p>
      <w:pPr>
        <w:numPr>
          <w:numId w:val="0"/>
        </w:numPr>
        <w:spacing w:line="586" w:lineRule="exact"/>
        <w:ind w:leftChars="100" w:firstLine="321" w:firstLineChars="1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政府信息公开平台建设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>
      <w:pPr>
        <w:numPr>
          <w:ilvl w:val="0"/>
          <w:numId w:val="0"/>
        </w:numPr>
        <w:spacing w:line="586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无</w:t>
      </w:r>
    </w:p>
    <w:p>
      <w:pPr>
        <w:numPr>
          <w:numId w:val="0"/>
        </w:numPr>
        <w:spacing w:line="586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监督保障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方面</w:t>
      </w:r>
    </w:p>
    <w:p>
      <w:pPr>
        <w:numPr>
          <w:ilvl w:val="0"/>
          <w:numId w:val="0"/>
        </w:numPr>
        <w:spacing w:line="586" w:lineRule="exact"/>
        <w:ind w:left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我局成立由局长任组长、其它局领导任副组长的网络和信息安全工作领导小组，强化对网络安全和信息公开工作的全面领导和监督保障。</w:t>
      </w:r>
    </w:p>
    <w:p>
      <w:pPr>
        <w:spacing w:line="58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rPr>
          <w:rFonts w:hint="eastAsia"/>
        </w:rPr>
      </w:pPr>
    </w:p>
    <w:tbl>
      <w:tblPr>
        <w:tblStyle w:val="5"/>
        <w:tblW w:w="872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1878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本年制发件数</w:t>
            </w:r>
          </w:p>
        </w:tc>
        <w:tc>
          <w:tcPr>
            <w:tcW w:w="1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本年废止件数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　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 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行政许可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行政处罚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行政强制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　</w:t>
            </w: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信息内容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行政事业性收费</w:t>
            </w:r>
          </w:p>
        </w:tc>
        <w:tc>
          <w:tcPr>
            <w:tcW w:w="629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9607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64"/>
        <w:gridCol w:w="5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677" w:type="dxa"/>
            <w:gridSpan w:val="7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16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573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</w:t>
            </w:r>
          </w:p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</w:t>
            </w:r>
          </w:p>
          <w:p>
            <w:pPr>
              <w:jc w:val="center"/>
            </w:pPr>
            <w:r>
              <w:rPr>
                <w:rFonts w:hint="eastAsia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73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inThickThinMedium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MediumGap" w:color="auto" w:sz="0" w:space="0"/>
              <w:bottom w:val="dotDotDash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thickThinLargeGap" w:color="auto" w:sz="0" w:space="0"/>
              <w:bottom w:val="dotDotDash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dashed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thinThickThinMedium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MediumGap" w:color="auto" w:sz="0" w:space="0"/>
              <w:bottom w:val="dotDotDash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dashed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（三）</w:t>
            </w:r>
          </w:p>
          <w:p>
            <w:pPr>
              <w:jc w:val="center"/>
            </w:pPr>
            <w:r>
              <w:rPr>
                <w:rFonts w:hint="eastAsia"/>
              </w:rPr>
              <w:t>不予公开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（四）</w:t>
            </w:r>
          </w:p>
          <w:p>
            <w:pPr>
              <w:jc w:val="center"/>
            </w:pPr>
            <w:r>
              <w:rPr>
                <w:rFonts w:hint="eastAsia"/>
              </w:rPr>
              <w:t>无法提供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（五）</w:t>
            </w:r>
          </w:p>
          <w:p>
            <w:pPr>
              <w:jc w:val="center"/>
            </w:pPr>
            <w:r>
              <w:rPr>
                <w:rFonts w:hint="eastAsia"/>
              </w:rPr>
              <w:t>不予处理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（六）</w:t>
            </w:r>
          </w:p>
          <w:p>
            <w:pPr>
              <w:jc w:val="center"/>
            </w:pPr>
            <w:r>
              <w:rPr>
                <w:rFonts w:hint="eastAsia"/>
              </w:rPr>
              <w:t>其他处理</w:t>
            </w: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1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rPr>
                <w:rFonts w:hint="eastAsia"/>
              </w:rPr>
              <w:t>3.其他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thickThinSmallGap" w:color="auto" w:sz="8" w:space="0"/>
              <w:right w:val="dotDotDash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（七）总计</w:t>
            </w:r>
          </w:p>
        </w:tc>
        <w:tc>
          <w:tcPr>
            <w:tcW w:w="688" w:type="dxa"/>
            <w:tcBorders>
              <w:top w:val="triple" w:color="auto" w:sz="0" w:space="0"/>
              <w:left w:val="doub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dotted" w:color="auto" w:sz="8" w:space="0"/>
              <w:right w:val="thinThickThinMedium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thinThickMediumGap" w:color="auto" w:sz="0" w:space="0"/>
              <w:bottom w:val="dotDotDash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dotted" w:color="auto" w:sz="0" w:space="0"/>
              <w:left w:val="nil"/>
              <w:bottom w:val="single" w:color="auto" w:sz="8" w:space="0"/>
              <w:right w:val="thickThinMediumGap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rPr>
          <w:rFonts w:hint="eastAsia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结果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其他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尚未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2022年，我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局不断完善政府信息公开的各项工作，取得一定工作成效，但存在政策解读形式单一、主动性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创新性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不够强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问题。下一步将做好以下几方面的工作：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（一）做好相关政策解读的工作，更全面和更准确地解读政策，增加原创性政策解读文章。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（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）进一步增强创新意识，政务信息公开方式进一步多样化，进一步提升人民对于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商务工作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的关注度。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无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晋城市商务局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2023年1月3日</w:t>
      </w:r>
    </w:p>
    <w:sectPr>
      <w:pgSz w:w="11906" w:h="16838"/>
      <w:pgMar w:top="2098" w:right="1474" w:bottom="1984" w:left="1587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672AE"/>
    <w:multiLevelType w:val="singleLevel"/>
    <w:tmpl w:val="61D672A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90AEC"/>
    <w:rsid w:val="22F37630"/>
    <w:rsid w:val="24D90AEC"/>
    <w:rsid w:val="28FD228C"/>
    <w:rsid w:val="487D0E64"/>
    <w:rsid w:val="5E4C53EF"/>
    <w:rsid w:val="662A6375"/>
    <w:rsid w:val="711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2022-01-06T01:37:00Z</dcterms:created>
  <dc:creator>lenovo</dc:creator>
  <cp:lastModifiedBy>lenovo</cp:lastModifiedBy>
  <cp:lastPrinted>2022-01-13T02:19:00Z</cp:lastPrinted>
  <dcterms:modified xsi:type="dcterms:W3CDTF">2023-01-03T08:10:03Z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