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（2024.09.06）</w:t>
      </w:r>
    </w:p>
    <w:tbl>
      <w:tblPr>
        <w:tblStyle w:val="3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075"/>
        <w:gridCol w:w="1813"/>
        <w:gridCol w:w="2782"/>
        <w:gridCol w:w="1596"/>
        <w:gridCol w:w="15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u w:val="none"/>
                <w:lang w:val="en-US" w:eastAsia="zh-CN"/>
              </w:rPr>
              <w:t>晋城市安泰职业卫生健康技术咨询有限公司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未按标准规范开展职业卫生技术服务，擅自更改、简化服务程序和相关内容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警告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并罚款人民币0.5万元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职业卫生技术服务机构管理办法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》第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条第（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）项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晋市卫职罚〔2024〕1号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4.09.06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7.09.06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6C8A"/>
    <w:rsid w:val="4AA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2024-09-09T07:38:00Z</dcterms:created>
  <dc:creator>Administrator</dc:creator>
  <cp:lastModifiedBy>Administrator</cp:lastModifiedBy>
  <dcterms:modified xsi:type="dcterms:W3CDTF">2024-09-09T07:39:07Z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8873B82D867F46AAB9AE4C78F5672A6C</vt:lpwstr>
  </property>
</Properties>
</file>