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晋城市信访局</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2025年政府信息公开工作年度报告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firstLineChars="20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根据《中华人民共和国政府信息公开条例》《国务院办公厅政府信息与政务公开办公室关于印发中华人民共和国政府信息公开工作年度报告格式的通知》要求，晋城市信访局编制了2025年政府信息公开工作年度报告。全文包括总体情况，主动公开政府信息情况，收到和处理政府信息公开申请情况，因政府信息公开工作被申请行政复议和提起行政诉讼情况，政府信息公开工作存在的主要问题及改进情况，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本年度报告中所列数据的统计期限自2025年1月1日起至2025年12月31日止。本年度报告的电子版可在晋城在线官网（</w:t>
      </w:r>
      <w:bookmarkStart w:id="0" w:name="OLE_LINK1"/>
      <w:r>
        <w:rPr>
          <w:rFonts w:hint="eastAsia" w:ascii="仿宋" w:hAnsi="仿宋" w:eastAsia="仿宋" w:cs="仿宋"/>
          <w:kern w:val="2"/>
          <w:sz w:val="32"/>
          <w:szCs w:val="32"/>
          <w:lang w:val="en-US" w:eastAsia="zh-CN" w:bidi="ar-SA"/>
        </w:rPr>
        <w:t>https://xxgk.jcgov.gov.cn/szfgzbm/jcsxfj/zfxxgknb_31597/</w:t>
      </w:r>
      <w:bookmarkEnd w:id="0"/>
      <w:r>
        <w:rPr>
          <w:rFonts w:hint="eastAsia" w:ascii="仿宋" w:hAnsi="仿宋" w:eastAsia="仿宋" w:cs="仿宋"/>
          <w:kern w:val="2"/>
          <w:sz w:val="32"/>
          <w:szCs w:val="32"/>
          <w:lang w:val="en-US" w:eastAsia="zh-CN" w:bidi="ar-SA"/>
        </w:rPr>
        <w:t>）下载。如对本年报有任何疑问，请与晋城市信访局联系（地址：晋城市城区文博路445号，联系电话：0356—2198275，电子邮箱:jcsxfj@126.com）。</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（一）主动公开方面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2025年我局政府信息主动公开方面，共发布日常工作动态信息13条，财政信息2条，法规文件2条，规划计划1条，微信公众号发布信息172条。通过多种形式、多种渠道宣传解读《信访工作条例》等相关内容，增强了解读效果，扩大了宣传效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（二）依申请公开方面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依法依规做好政府信息依申请公开工作，2025年共收到和办理依申请公开2件,其中自然人申请件2件，法人或其他组织申请0件，上年度结转政府信息公开申请0件。处理结果中，予以公开0件，信访举报投诉类申请2件，重复申请0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（三）政府信息管理方面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局十分重视政府信息公开工作，不断强化日常管理，并持续推动此项工作的深入开展，2025年政务新媒体平台信息发布严格执行“三审三校”制度，层层把关，对需要审核的信息，经科室负责人审核、办公室保密审查、分管领导审核签字后发布，重要信息还需经主要领导审核签字，进一步加强和规范了政务新媒体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3" w:firstLineChars="20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（四）政府信息公开平台建设方面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2025年，在市委市政府的正确领导下，我局充分运用市政府门户网站部门栏目晋城市信访局和“晋城信访”微信公众号在信息公开中的主平台作用，进一步加强市信访局政务新媒体建设和管理，对政务新媒体进行了常态化巡查，做到信息内容及时更新，保障栏目更新频率，并通过公众号，用大家喜闻乐见的文字和图片形式呈现《信访工作条例》等相关内容，提高了阅读量和点击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（五）监督保障方面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我局成立了政府信息公开工作领导小组办公室，定期对信息发布审核把关、内容更新保障是否充分、运行是否规范等方面进行自查整改,坚决落实网络意识形态工作责任制和网络安全责任制,确保信息公开平台安全、平稳，并积极配合市政府办和市大数据局对我局政府信息公开实施情况的监督检查，做好我局政府信息公开工作。</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主动公开政府信息情况</w:t>
      </w:r>
    </w:p>
    <w:tbl>
      <w:tblPr>
        <w:tblStyle w:val="10"/>
        <w:tblW w:w="8320" w:type="dxa"/>
        <w:jc w:val="center"/>
        <w:tblInd w:w="-10" w:type="dxa"/>
        <w:tblLayout w:type="fixed"/>
        <w:tblCellMar>
          <w:top w:w="0" w:type="dxa"/>
          <w:left w:w="0" w:type="dxa"/>
          <w:bottom w:w="0" w:type="dxa"/>
          <w:right w:w="0" w:type="dxa"/>
        </w:tblCellMar>
      </w:tblPr>
      <w:tblGrid>
        <w:gridCol w:w="3182"/>
        <w:gridCol w:w="1817"/>
        <w:gridCol w:w="1522"/>
        <w:gridCol w:w="1799"/>
      </w:tblGrid>
      <w:tr>
        <w:tblPrEx>
          <w:tblLayout w:type="fixed"/>
          <w:tblCellMar>
            <w:top w:w="0" w:type="dxa"/>
            <w:left w:w="0" w:type="dxa"/>
            <w:bottom w:w="0" w:type="dxa"/>
            <w:right w:w="0" w:type="dxa"/>
          </w:tblCellMar>
        </w:tblPrEx>
        <w:trPr>
          <w:trHeight w:val="303" w:hRule="atLeast"/>
          <w:jc w:val="center"/>
        </w:trPr>
        <w:tc>
          <w:tcPr>
            <w:tcW w:w="8320" w:type="dxa"/>
            <w:gridSpan w:val="4"/>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第二十条第（一）项</w:t>
            </w:r>
          </w:p>
        </w:tc>
      </w:tr>
      <w:tr>
        <w:tblPrEx>
          <w:tblLayout w:type="fixed"/>
          <w:tblCellMar>
            <w:top w:w="0" w:type="dxa"/>
            <w:left w:w="0" w:type="dxa"/>
            <w:bottom w:w="0" w:type="dxa"/>
            <w:right w:w="0" w:type="dxa"/>
          </w:tblCellMar>
        </w:tblPrEx>
        <w:trPr>
          <w:trHeight w:val="322" w:hRule="atLeast"/>
          <w:jc w:val="center"/>
        </w:trPr>
        <w:tc>
          <w:tcPr>
            <w:tcW w:w="318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信息内容</w:t>
            </w:r>
          </w:p>
        </w:tc>
        <w:tc>
          <w:tcPr>
            <w:tcW w:w="181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本年制发件数</w:t>
            </w:r>
          </w:p>
        </w:tc>
        <w:tc>
          <w:tcPr>
            <w:tcW w:w="1522"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本年废止件数</w:t>
            </w:r>
          </w:p>
        </w:tc>
        <w:tc>
          <w:tcPr>
            <w:tcW w:w="179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现行有效件数</w:t>
            </w:r>
          </w:p>
        </w:tc>
      </w:tr>
      <w:tr>
        <w:tblPrEx>
          <w:tblLayout w:type="fixed"/>
          <w:tblCellMar>
            <w:top w:w="0" w:type="dxa"/>
            <w:left w:w="0" w:type="dxa"/>
            <w:bottom w:w="0" w:type="dxa"/>
            <w:right w:w="0" w:type="dxa"/>
          </w:tblCellMar>
        </w:tblPrEx>
        <w:trPr>
          <w:trHeight w:val="281" w:hRule="atLeast"/>
          <w:jc w:val="center"/>
        </w:trPr>
        <w:tc>
          <w:tcPr>
            <w:tcW w:w="318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规章</w:t>
            </w:r>
          </w:p>
        </w:tc>
        <w:tc>
          <w:tcPr>
            <w:tcW w:w="181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1522"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179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Layout w:type="fixed"/>
          <w:tblCellMar>
            <w:top w:w="0" w:type="dxa"/>
            <w:left w:w="0" w:type="dxa"/>
            <w:bottom w:w="0" w:type="dxa"/>
            <w:right w:w="0" w:type="dxa"/>
          </w:tblCellMar>
        </w:tblPrEx>
        <w:trPr>
          <w:trHeight w:val="280" w:hRule="atLeast"/>
          <w:jc w:val="center"/>
        </w:trPr>
        <w:tc>
          <w:tcPr>
            <w:tcW w:w="318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行政规范性文件</w:t>
            </w:r>
          </w:p>
        </w:tc>
        <w:tc>
          <w:tcPr>
            <w:tcW w:w="181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1522"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eastAsiaTheme="minorEastAsia"/>
                <w:lang w:val="en-US" w:eastAsia="zh-CN"/>
              </w:rPr>
            </w:pPr>
            <w:r>
              <w:rPr>
                <w:rFonts w:hint="eastAsia"/>
                <w:lang w:val="en-US" w:eastAsia="zh-CN"/>
              </w:rPr>
              <w:t>0</w:t>
            </w:r>
          </w:p>
        </w:tc>
        <w:tc>
          <w:tcPr>
            <w:tcW w:w="179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eastAsiaTheme="minorEastAsia"/>
                <w:lang w:val="en-US" w:eastAsia="zh-CN"/>
              </w:rPr>
            </w:pPr>
            <w:r>
              <w:rPr>
                <w:rFonts w:hint="eastAsia"/>
                <w:lang w:val="en-US" w:eastAsia="zh-CN"/>
              </w:rPr>
              <w:t>0</w:t>
            </w:r>
          </w:p>
        </w:tc>
      </w:tr>
      <w:tr>
        <w:tblPrEx>
          <w:tblLayout w:type="fixed"/>
          <w:tblCellMar>
            <w:top w:w="0" w:type="dxa"/>
            <w:left w:w="0" w:type="dxa"/>
            <w:bottom w:w="0" w:type="dxa"/>
            <w:right w:w="0" w:type="dxa"/>
          </w:tblCellMar>
        </w:tblPrEx>
        <w:trPr>
          <w:trHeight w:val="280" w:hRule="atLeast"/>
          <w:jc w:val="center"/>
        </w:trPr>
        <w:tc>
          <w:tcPr>
            <w:tcW w:w="832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第二十条第（五）项</w:t>
            </w:r>
          </w:p>
        </w:tc>
      </w:tr>
      <w:tr>
        <w:tblPrEx>
          <w:tblLayout w:type="fixed"/>
          <w:tblCellMar>
            <w:top w:w="0" w:type="dxa"/>
            <w:left w:w="0" w:type="dxa"/>
            <w:bottom w:w="0" w:type="dxa"/>
            <w:right w:w="0" w:type="dxa"/>
          </w:tblCellMar>
        </w:tblPrEx>
        <w:trPr>
          <w:trHeight w:val="237" w:hRule="atLeast"/>
          <w:jc w:val="center"/>
        </w:trPr>
        <w:tc>
          <w:tcPr>
            <w:tcW w:w="318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信息内容</w:t>
            </w:r>
          </w:p>
        </w:tc>
        <w:tc>
          <w:tcPr>
            <w:tcW w:w="5138" w:type="dxa"/>
            <w:gridSpan w:val="3"/>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本年处理决定数量</w:t>
            </w:r>
          </w:p>
        </w:tc>
      </w:tr>
      <w:tr>
        <w:tblPrEx>
          <w:tblLayout w:type="fixed"/>
          <w:tblCellMar>
            <w:top w:w="0" w:type="dxa"/>
            <w:left w:w="0" w:type="dxa"/>
            <w:bottom w:w="0" w:type="dxa"/>
            <w:right w:w="0" w:type="dxa"/>
          </w:tblCellMar>
        </w:tblPrEx>
        <w:trPr>
          <w:trHeight w:val="269" w:hRule="atLeast"/>
          <w:jc w:val="center"/>
        </w:trPr>
        <w:tc>
          <w:tcPr>
            <w:tcW w:w="318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行政许可</w:t>
            </w:r>
          </w:p>
        </w:tc>
        <w:tc>
          <w:tcPr>
            <w:tcW w:w="5138" w:type="dxa"/>
            <w:gridSpan w:val="3"/>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outlineLvl w:val="9"/>
              <w:rPr>
                <w:lang w:val="en-US"/>
              </w:rPr>
            </w:pPr>
            <w:r>
              <w:rPr>
                <w:rFonts w:hint="eastAsia"/>
                <w:lang w:val="en-US" w:eastAsia="zh-CN"/>
              </w:rPr>
              <w:t>0</w:t>
            </w:r>
          </w:p>
        </w:tc>
      </w:tr>
      <w:tr>
        <w:tblPrEx>
          <w:tblLayout w:type="fixed"/>
          <w:tblCellMar>
            <w:top w:w="0" w:type="dxa"/>
            <w:left w:w="0" w:type="dxa"/>
            <w:bottom w:w="0" w:type="dxa"/>
            <w:right w:w="0" w:type="dxa"/>
          </w:tblCellMar>
        </w:tblPrEx>
        <w:trPr>
          <w:trHeight w:val="259" w:hRule="atLeast"/>
          <w:jc w:val="center"/>
        </w:trPr>
        <w:tc>
          <w:tcPr>
            <w:tcW w:w="832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第二十条第（六）项</w:t>
            </w:r>
          </w:p>
        </w:tc>
      </w:tr>
      <w:tr>
        <w:tblPrEx>
          <w:tblLayout w:type="fixed"/>
          <w:tblCellMar>
            <w:top w:w="0" w:type="dxa"/>
            <w:left w:w="0" w:type="dxa"/>
            <w:bottom w:w="0" w:type="dxa"/>
            <w:right w:w="0" w:type="dxa"/>
          </w:tblCellMar>
        </w:tblPrEx>
        <w:trPr>
          <w:trHeight w:val="280" w:hRule="atLeast"/>
          <w:jc w:val="center"/>
        </w:trPr>
        <w:tc>
          <w:tcPr>
            <w:tcW w:w="318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信息内容</w:t>
            </w:r>
          </w:p>
        </w:tc>
        <w:tc>
          <w:tcPr>
            <w:tcW w:w="5138" w:type="dxa"/>
            <w:gridSpan w:val="3"/>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本年处理决定数量</w:t>
            </w:r>
          </w:p>
        </w:tc>
      </w:tr>
      <w:tr>
        <w:tblPrEx>
          <w:tblLayout w:type="fixed"/>
          <w:tblCellMar>
            <w:top w:w="0" w:type="dxa"/>
            <w:left w:w="0" w:type="dxa"/>
            <w:bottom w:w="0" w:type="dxa"/>
            <w:right w:w="0" w:type="dxa"/>
          </w:tblCellMar>
        </w:tblPrEx>
        <w:trPr>
          <w:trHeight w:val="312" w:hRule="atLeast"/>
          <w:jc w:val="center"/>
        </w:trPr>
        <w:tc>
          <w:tcPr>
            <w:tcW w:w="318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行政处罚</w:t>
            </w:r>
          </w:p>
        </w:tc>
        <w:tc>
          <w:tcPr>
            <w:tcW w:w="5138" w:type="dxa"/>
            <w:gridSpan w:val="3"/>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outlineLvl w:val="9"/>
              <w:rPr>
                <w:lang w:val="en-US"/>
              </w:rPr>
            </w:pPr>
            <w:r>
              <w:rPr>
                <w:rFonts w:hint="eastAsia"/>
                <w:lang w:val="en-US" w:eastAsia="zh-CN"/>
              </w:rPr>
              <w:t>0</w:t>
            </w:r>
          </w:p>
        </w:tc>
      </w:tr>
      <w:tr>
        <w:tblPrEx>
          <w:tblLayout w:type="fixed"/>
          <w:tblCellMar>
            <w:top w:w="0" w:type="dxa"/>
            <w:left w:w="0" w:type="dxa"/>
            <w:bottom w:w="0" w:type="dxa"/>
            <w:right w:w="0" w:type="dxa"/>
          </w:tblCellMar>
        </w:tblPrEx>
        <w:trPr>
          <w:trHeight w:val="269" w:hRule="atLeast"/>
          <w:jc w:val="center"/>
        </w:trPr>
        <w:tc>
          <w:tcPr>
            <w:tcW w:w="318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行政强制</w:t>
            </w:r>
          </w:p>
        </w:tc>
        <w:tc>
          <w:tcPr>
            <w:tcW w:w="5138" w:type="dxa"/>
            <w:gridSpan w:val="3"/>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outlineLvl w:val="9"/>
              <w:rPr>
                <w:lang w:val="en-US"/>
              </w:rPr>
            </w:pPr>
            <w:r>
              <w:rPr>
                <w:rFonts w:hint="eastAsia"/>
                <w:lang w:val="en-US" w:eastAsia="zh-CN"/>
              </w:rPr>
              <w:t>0</w:t>
            </w:r>
          </w:p>
        </w:tc>
      </w:tr>
      <w:tr>
        <w:tblPrEx>
          <w:tblLayout w:type="fixed"/>
          <w:tblCellMar>
            <w:top w:w="0" w:type="dxa"/>
            <w:left w:w="0" w:type="dxa"/>
            <w:bottom w:w="0" w:type="dxa"/>
            <w:right w:w="0" w:type="dxa"/>
          </w:tblCellMar>
        </w:tblPrEx>
        <w:trPr>
          <w:trHeight w:val="280" w:hRule="atLeast"/>
          <w:jc w:val="center"/>
        </w:trPr>
        <w:tc>
          <w:tcPr>
            <w:tcW w:w="8320" w:type="dxa"/>
            <w:gridSpan w:val="4"/>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第二十条第（八）项</w:t>
            </w:r>
          </w:p>
        </w:tc>
      </w:tr>
      <w:tr>
        <w:tblPrEx>
          <w:tblLayout w:type="fixed"/>
          <w:tblCellMar>
            <w:top w:w="0" w:type="dxa"/>
            <w:left w:w="0" w:type="dxa"/>
            <w:bottom w:w="0" w:type="dxa"/>
            <w:right w:w="0" w:type="dxa"/>
          </w:tblCellMar>
        </w:tblPrEx>
        <w:trPr>
          <w:trHeight w:val="323" w:hRule="atLeast"/>
          <w:jc w:val="center"/>
        </w:trPr>
        <w:tc>
          <w:tcPr>
            <w:tcW w:w="318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信息内容</w:t>
            </w:r>
          </w:p>
        </w:tc>
        <w:tc>
          <w:tcPr>
            <w:tcW w:w="5138" w:type="dxa"/>
            <w:gridSpan w:val="3"/>
            <w:tcBorders>
              <w:top w:val="nil"/>
              <w:left w:val="nil"/>
              <w:bottom w:val="single" w:color="auto"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本年收费金额（单位：万元）</w:t>
            </w:r>
          </w:p>
        </w:tc>
      </w:tr>
      <w:tr>
        <w:tblPrEx>
          <w:tblLayout w:type="fixed"/>
          <w:tblCellMar>
            <w:top w:w="0" w:type="dxa"/>
            <w:left w:w="0" w:type="dxa"/>
            <w:bottom w:w="0" w:type="dxa"/>
            <w:right w:w="0" w:type="dxa"/>
          </w:tblCellMar>
        </w:tblPrEx>
        <w:trPr>
          <w:trHeight w:val="320" w:hRule="atLeast"/>
          <w:jc w:val="center"/>
        </w:trPr>
        <w:tc>
          <w:tcPr>
            <w:tcW w:w="318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行政事业性收费</w:t>
            </w:r>
          </w:p>
        </w:tc>
        <w:tc>
          <w:tcPr>
            <w:tcW w:w="5138" w:type="dxa"/>
            <w:gridSpan w:val="3"/>
            <w:tcBorders>
              <w:top w:val="nil"/>
              <w:left w:val="nil"/>
              <w:bottom w:val="single" w:color="auto" w:sz="8" w:space="0"/>
              <w:right w:val="single" w:color="000000"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both"/>
              <w:textAlignment w:val="auto"/>
              <w:outlineLvl w:val="9"/>
              <w:rPr>
                <w:lang w:val="en-US"/>
              </w:rPr>
            </w:pPr>
            <w:r>
              <w:rPr>
                <w:rFonts w:hint="eastAsia"/>
                <w:lang w:val="en-US" w:eastAsia="zh-CN"/>
              </w:rPr>
              <w:t>0</w:t>
            </w:r>
          </w:p>
        </w:tc>
      </w:tr>
    </w:tbl>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收到和处理政府信息公开申请情况</w:t>
      </w:r>
    </w:p>
    <w:tbl>
      <w:tblPr>
        <w:tblStyle w:val="10"/>
        <w:tblW w:w="8613" w:type="dxa"/>
        <w:jc w:val="center"/>
        <w:tblInd w:w="36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409"/>
        <w:gridCol w:w="734"/>
        <w:gridCol w:w="2434"/>
        <w:gridCol w:w="484"/>
        <w:gridCol w:w="760"/>
        <w:gridCol w:w="761"/>
        <w:gridCol w:w="654"/>
        <w:gridCol w:w="771"/>
        <w:gridCol w:w="977"/>
        <w:gridCol w:w="62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 w:hRule="atLeast"/>
          <w:jc w:val="center"/>
        </w:trPr>
        <w:tc>
          <w:tcPr>
            <w:tcW w:w="3577" w:type="dxa"/>
            <w:gridSpan w:val="3"/>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（本列数据的勾稽关系为：第一项加第二项之和，等于第三项加第四项之和）</w:t>
            </w:r>
          </w:p>
        </w:tc>
        <w:tc>
          <w:tcPr>
            <w:tcW w:w="5036" w:type="dxa"/>
            <w:gridSpan w:val="7"/>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73" w:hRule="atLeast"/>
          <w:jc w:val="center"/>
        </w:trPr>
        <w:tc>
          <w:tcPr>
            <w:tcW w:w="3577"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484" w:type="dxa"/>
            <w:vMerge w:val="restart"/>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自然人</w:t>
            </w:r>
          </w:p>
        </w:tc>
        <w:tc>
          <w:tcPr>
            <w:tcW w:w="3923" w:type="dxa"/>
            <w:gridSpan w:val="5"/>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法人或其他组织</w:t>
            </w:r>
          </w:p>
        </w:tc>
        <w:tc>
          <w:tcPr>
            <w:tcW w:w="629"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42" w:hRule="atLeast"/>
          <w:jc w:val="center"/>
        </w:trPr>
        <w:tc>
          <w:tcPr>
            <w:tcW w:w="3577"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484"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商业企 业</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科研机 构</w:t>
            </w:r>
          </w:p>
        </w:tc>
        <w:tc>
          <w:tcPr>
            <w:tcW w:w="654"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社会公益 组织</w:t>
            </w:r>
          </w:p>
        </w:tc>
        <w:tc>
          <w:tcPr>
            <w:tcW w:w="771"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法律服务 机 构</w:t>
            </w:r>
          </w:p>
        </w:tc>
        <w:tc>
          <w:tcPr>
            <w:tcW w:w="977"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其他</w:t>
            </w:r>
          </w:p>
        </w:tc>
        <w:tc>
          <w:tcPr>
            <w:tcW w:w="629"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5" w:hRule="atLeast"/>
          <w:jc w:val="center"/>
        </w:trPr>
        <w:tc>
          <w:tcPr>
            <w:tcW w:w="3577" w:type="dxa"/>
            <w:gridSpan w:val="3"/>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一、本年新收政府信息公开申请数量</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2</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5" w:hRule="atLeast"/>
          <w:jc w:val="center"/>
        </w:trPr>
        <w:tc>
          <w:tcPr>
            <w:tcW w:w="3577" w:type="dxa"/>
            <w:gridSpan w:val="3"/>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二、上年结转政府信息公开申请数量</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29" w:hRule="atLeast"/>
          <w:jc w:val="center"/>
        </w:trPr>
        <w:tc>
          <w:tcPr>
            <w:tcW w:w="40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三、本年度办理结果</w:t>
            </w:r>
          </w:p>
        </w:tc>
        <w:tc>
          <w:tcPr>
            <w:tcW w:w="3168" w:type="dxa"/>
            <w:gridSpan w:val="2"/>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（一）予以公开</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669"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3168" w:type="dxa"/>
            <w:gridSpan w:val="2"/>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（二）部分公开（区分处理的，只计这一情形，不计其他情形）</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5"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restart"/>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（三）不予公开</w:t>
            </w: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1.属于国家秘密</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6"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2.其他法律行政法规禁止公开</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5"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3.危及“三安全一稳定”</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5"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4.保护第三方合法权益</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90"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5.属于三类内部事务信息</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5"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6.属于四类过程性信息</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34"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7.属于行政执法案卷</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45"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8.属于行政查询事项</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90"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restart"/>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（四）无法提供</w:t>
            </w: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1.本机关不掌握相关政府信息</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90"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2.没有现成信息需要另行制作</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3.补正后申请内容仍不明确</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05"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restart"/>
            <w:tcBorders>
              <w:top w:val="nil"/>
              <w:left w:val="nil"/>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eastAsiaTheme="minorEastAsia"/>
                <w:lang w:eastAsia="zh-CN"/>
              </w:rPr>
            </w:pPr>
            <w:r>
              <w:rPr>
                <w:rFonts w:hint="eastAsia"/>
                <w:lang w:eastAsia="zh-CN"/>
              </w:rPr>
              <w:t>（五）不予处理</w:t>
            </w: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lang w:val="en-US" w:eastAsia="zh-CN"/>
              </w:rPr>
            </w:pPr>
            <w:r>
              <w:rPr>
                <w:rFonts w:hint="eastAsia"/>
                <w:lang w:val="en-US" w:eastAsia="zh-CN"/>
              </w:rPr>
              <w:t>1.信访举报投诉类申请</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2</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34"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left w:val="nil"/>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lang w:val="en-US" w:eastAsia="zh-CN"/>
              </w:rPr>
            </w:pPr>
            <w:r>
              <w:rPr>
                <w:rFonts w:hint="eastAsia"/>
                <w:lang w:val="en-US" w:eastAsia="zh-CN"/>
              </w:rPr>
              <w:t>2.重复申请</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58"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left w:val="nil"/>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lang w:val="en-US" w:eastAsia="zh-CN"/>
              </w:rPr>
            </w:pPr>
            <w:r>
              <w:rPr>
                <w:rFonts w:hint="eastAsia"/>
                <w:lang w:val="en-US" w:eastAsia="zh-CN"/>
              </w:rPr>
              <w:t>3.要求提供公开出版物</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01"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left w:val="nil"/>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lang w:val="en-US" w:eastAsia="zh-CN"/>
              </w:rPr>
            </w:pPr>
            <w:r>
              <w:rPr>
                <w:rFonts w:hint="eastAsia"/>
                <w:lang w:val="en-US" w:eastAsia="zh-CN"/>
              </w:rPr>
              <w:t>4.无正当理由大量反复申请</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5"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lang w:val="en-US" w:eastAsia="zh-CN"/>
              </w:rPr>
            </w:pPr>
            <w:r>
              <w:rPr>
                <w:rFonts w:hint="eastAsia"/>
                <w:lang w:val="en-US" w:eastAsia="zh-CN"/>
              </w:rPr>
              <w:t>5.要求行政机关确认或重新出具已获取信息</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14"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restart"/>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（六）其他处理</w:t>
            </w: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1.申请人无正当理由逾期不补正、行政机关不再处理其政府信息公开申请</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28"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2.申请人舆情未按收费通知要求缴纳费用、行政机关不再处理其政府信息公开申请</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eastAsiaTheme="minorEastAsia"/>
                <w:lang w:val="en-US" w:eastAsia="zh-CN"/>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 xml:space="preserve">0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20"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734"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243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3.其他</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07" w:hRule="atLeast"/>
          <w:jc w:val="center"/>
        </w:trPr>
        <w:tc>
          <w:tcPr>
            <w:tcW w:w="40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rPr>
                <w:rFonts w:hint="eastAsia"/>
              </w:rPr>
            </w:pPr>
          </w:p>
        </w:tc>
        <w:tc>
          <w:tcPr>
            <w:tcW w:w="3168" w:type="dxa"/>
            <w:gridSpan w:val="2"/>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（七）总计</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2</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271" w:hRule="atLeast"/>
          <w:jc w:val="center"/>
        </w:trPr>
        <w:tc>
          <w:tcPr>
            <w:tcW w:w="3577" w:type="dxa"/>
            <w:gridSpan w:val="3"/>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textAlignment w:val="auto"/>
              <w:outlineLvl w:val="9"/>
            </w:pPr>
            <w:r>
              <w:rPr>
                <w:rFonts w:hint="eastAsia"/>
                <w:lang w:val="en-US" w:eastAsia="zh-CN"/>
              </w:rPr>
              <w:t>四、结转下年度继续办理</w:t>
            </w:r>
          </w:p>
        </w:tc>
        <w:tc>
          <w:tcPr>
            <w:tcW w:w="48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0"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6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54"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977"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2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eastAsiaTheme="minorEastAsia"/>
                <w:lang w:val="en-US" w:eastAsia="zh-CN"/>
              </w:rPr>
            </w:pPr>
            <w:r>
              <w:rPr>
                <w:rFonts w:hint="eastAsia"/>
                <w:lang w:val="en-US" w:eastAsia="zh-CN"/>
              </w:rPr>
              <w:t>0</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rPr>
      </w:pPr>
      <w:r>
        <w:rPr>
          <w:rFonts w:hint="eastAsia" w:ascii="黑体" w:hAnsi="黑体" w:eastAsia="黑体" w:cs="黑体"/>
          <w:sz w:val="32"/>
          <w:szCs w:val="32"/>
        </w:rPr>
        <w:t>四、政府信息公开行政复议、行政诉讼情况</w:t>
      </w:r>
    </w:p>
    <w:tbl>
      <w:tblPr>
        <w:tblStyle w:val="10"/>
        <w:tblW w:w="9160" w:type="dxa"/>
        <w:jc w:val="center"/>
        <w:tblInd w:w="-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55"/>
        <w:gridCol w:w="611"/>
        <w:gridCol w:w="578"/>
        <w:gridCol w:w="589"/>
        <w:gridCol w:w="771"/>
        <w:gridCol w:w="555"/>
        <w:gridCol w:w="611"/>
        <w:gridCol w:w="611"/>
        <w:gridCol w:w="611"/>
        <w:gridCol w:w="611"/>
        <w:gridCol w:w="611"/>
        <w:gridCol w:w="611"/>
        <w:gridCol w:w="611"/>
        <w:gridCol w:w="612"/>
        <w:gridCol w:w="61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28" w:hRule="atLeast"/>
          <w:jc w:val="center"/>
        </w:trPr>
        <w:tc>
          <w:tcPr>
            <w:tcW w:w="310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行政复议</w:t>
            </w:r>
          </w:p>
        </w:tc>
        <w:tc>
          <w:tcPr>
            <w:tcW w:w="6056" w:type="dxa"/>
            <w:gridSpan w:val="10"/>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7" w:hRule="atLeast"/>
          <w:jc w:val="center"/>
        </w:trPr>
        <w:tc>
          <w:tcPr>
            <w:tcW w:w="55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结果维 持</w:t>
            </w:r>
          </w:p>
        </w:tc>
        <w:tc>
          <w:tcPr>
            <w:tcW w:w="611" w:type="dxa"/>
            <w:vMerge w:val="restart"/>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结果纠正</w:t>
            </w:r>
          </w:p>
        </w:tc>
        <w:tc>
          <w:tcPr>
            <w:tcW w:w="57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其他结果</w:t>
            </w:r>
          </w:p>
        </w:tc>
        <w:tc>
          <w:tcPr>
            <w:tcW w:w="589"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尚未审结</w:t>
            </w:r>
          </w:p>
        </w:tc>
        <w:tc>
          <w:tcPr>
            <w:tcW w:w="771"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总计</w:t>
            </w:r>
          </w:p>
        </w:tc>
        <w:tc>
          <w:tcPr>
            <w:tcW w:w="2999" w:type="dxa"/>
            <w:gridSpan w:val="5"/>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未经复议直接起诉</w:t>
            </w:r>
          </w:p>
        </w:tc>
        <w:tc>
          <w:tcPr>
            <w:tcW w:w="3057" w:type="dxa"/>
            <w:gridSpan w:val="5"/>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46" w:hRule="atLeast"/>
          <w:jc w:val="center"/>
        </w:trPr>
        <w:tc>
          <w:tcPr>
            <w:tcW w:w="55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rPr>
            </w:pPr>
          </w:p>
        </w:tc>
        <w:tc>
          <w:tcPr>
            <w:tcW w:w="611" w:type="dxa"/>
            <w:vMerge w:val="continue"/>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rPr>
            </w:pPr>
          </w:p>
        </w:tc>
        <w:tc>
          <w:tcPr>
            <w:tcW w:w="57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rPr>
            </w:pPr>
          </w:p>
        </w:tc>
        <w:tc>
          <w:tcPr>
            <w:tcW w:w="589"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rPr>
            </w:pPr>
          </w:p>
        </w:tc>
        <w:tc>
          <w:tcPr>
            <w:tcW w:w="771"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rPr>
            </w:pPr>
          </w:p>
        </w:tc>
        <w:tc>
          <w:tcPr>
            <w:tcW w:w="55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结果维持</w:t>
            </w:r>
          </w:p>
        </w:tc>
        <w:tc>
          <w:tcPr>
            <w:tcW w:w="61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结果纠正</w:t>
            </w:r>
          </w:p>
        </w:tc>
        <w:tc>
          <w:tcPr>
            <w:tcW w:w="611"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其他结果</w:t>
            </w:r>
          </w:p>
        </w:tc>
        <w:tc>
          <w:tcPr>
            <w:tcW w:w="611"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尚未审结</w:t>
            </w:r>
          </w:p>
        </w:tc>
        <w:tc>
          <w:tcPr>
            <w:tcW w:w="611"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总计</w:t>
            </w:r>
          </w:p>
        </w:tc>
        <w:tc>
          <w:tcPr>
            <w:tcW w:w="611"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结果维持</w:t>
            </w:r>
          </w:p>
        </w:tc>
        <w:tc>
          <w:tcPr>
            <w:tcW w:w="611"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结果纠正</w:t>
            </w:r>
          </w:p>
        </w:tc>
        <w:tc>
          <w:tcPr>
            <w:tcW w:w="611"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其他结果</w:t>
            </w:r>
          </w:p>
        </w:tc>
        <w:tc>
          <w:tcPr>
            <w:tcW w:w="612"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尚未审结</w:t>
            </w:r>
          </w:p>
        </w:tc>
        <w:tc>
          <w:tcPr>
            <w:tcW w:w="612" w:type="dxa"/>
            <w:tcBorders>
              <w:top w:val="single" w:color="auto" w:sz="8" w:space="0"/>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3" w:hRule="atLeast"/>
          <w:jc w:val="center"/>
        </w:trPr>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1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578"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589"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77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555"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1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0</w:t>
            </w:r>
          </w:p>
        </w:tc>
        <w:tc>
          <w:tcPr>
            <w:tcW w:w="61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0</w:t>
            </w:r>
          </w:p>
        </w:tc>
        <w:tc>
          <w:tcPr>
            <w:tcW w:w="61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0</w:t>
            </w:r>
          </w:p>
        </w:tc>
        <w:tc>
          <w:tcPr>
            <w:tcW w:w="61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lang w:val="en-US"/>
              </w:rPr>
            </w:pPr>
            <w:r>
              <w:rPr>
                <w:rFonts w:hint="eastAsia"/>
                <w:lang w:val="en-US" w:eastAsia="zh-CN"/>
              </w:rPr>
              <w:t>0</w:t>
            </w:r>
          </w:p>
        </w:tc>
        <w:tc>
          <w:tcPr>
            <w:tcW w:w="61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0</w:t>
            </w:r>
          </w:p>
        </w:tc>
        <w:tc>
          <w:tcPr>
            <w:tcW w:w="61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0</w:t>
            </w:r>
          </w:p>
        </w:tc>
        <w:tc>
          <w:tcPr>
            <w:tcW w:w="611"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0</w:t>
            </w:r>
          </w:p>
        </w:tc>
        <w:tc>
          <w:tcPr>
            <w:tcW w:w="612"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pPr>
            <w:r>
              <w:rPr>
                <w:rFonts w:hint="eastAsia"/>
                <w:lang w:val="en-US" w:eastAsia="zh-CN"/>
              </w:rPr>
              <w:t>0</w:t>
            </w:r>
          </w:p>
        </w:tc>
        <w:tc>
          <w:tcPr>
            <w:tcW w:w="612" w:type="dxa"/>
            <w:tcBorders>
              <w:top w:val="nil"/>
              <w:left w:val="nil"/>
              <w:bottom w:val="single" w:color="auto" w:sz="8" w:space="0"/>
              <w:right w:val="single" w:color="auto" w:sz="8" w:space="0"/>
            </w:tcBorders>
            <w:tcMar>
              <w:left w:w="108" w:type="dxa"/>
              <w:right w:w="108" w:type="dxa"/>
            </w:tcMar>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9"/>
              <w:rPr>
                <w:rFonts w:hint="eastAsia" w:eastAsiaTheme="minorEastAsia"/>
                <w:lang w:val="en-US" w:eastAsia="zh-CN"/>
              </w:rPr>
            </w:pPr>
            <w:r>
              <w:rPr>
                <w:rFonts w:hint="eastAsia"/>
                <w:lang w:val="en-US" w:eastAsia="zh-CN"/>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right="0" w:firstLine="640" w:firstLineChars="200"/>
        <w:jc w:val="both"/>
        <w:rPr>
          <w:rFonts w:hint="eastAsia" w:ascii="仿宋_GB2312" w:hAnsi="仿宋_GB2312" w:eastAsia="仿宋_GB2312" w:cs="仿宋_GB2312"/>
          <w:i w:val="0"/>
          <w:caps w:val="0"/>
          <w:color w:val="333333"/>
          <w:spacing w:val="0"/>
          <w:sz w:val="32"/>
          <w:szCs w:val="32"/>
          <w:shd w:val="clear" w:fill="FFFFFF"/>
          <w:lang w:eastAsia="zh-CN"/>
        </w:rPr>
      </w:pPr>
      <w:r>
        <w:rPr>
          <w:rFonts w:hint="eastAsia" w:ascii="仿宋_GB2312" w:hAnsi="仿宋_GB2312" w:eastAsia="仿宋_GB2312" w:cs="仿宋_GB2312"/>
          <w:i w:val="0"/>
          <w:caps w:val="0"/>
          <w:color w:val="333333"/>
          <w:spacing w:val="0"/>
          <w:sz w:val="32"/>
          <w:szCs w:val="32"/>
          <w:shd w:val="clear" w:fill="FFFFFF"/>
        </w:rPr>
        <w:t>今年以来，市信访局政府信息公开工作逐步实现常态化、规范化管理，但仍存在一些问题和不足。一是由于信访工作的特殊性，可供公开的信息内容有限，</w:t>
      </w:r>
      <w:r>
        <w:rPr>
          <w:rFonts w:hint="eastAsia" w:ascii="仿宋_GB2312" w:hAnsi="仿宋_GB2312" w:eastAsia="仿宋_GB2312" w:cs="仿宋_GB2312"/>
          <w:i w:val="0"/>
          <w:caps w:val="0"/>
          <w:color w:val="333333"/>
          <w:spacing w:val="0"/>
          <w:sz w:val="32"/>
          <w:szCs w:val="32"/>
          <w:shd w:val="clear" w:fill="FFFFFF"/>
          <w:lang w:eastAsia="zh-CN"/>
        </w:rPr>
        <w:t>公开类型内容不够全面</w:t>
      </w:r>
      <w:r>
        <w:rPr>
          <w:rFonts w:hint="eastAsia" w:ascii="仿宋_GB2312" w:hAnsi="仿宋_GB2312" w:eastAsia="仿宋_GB2312" w:cs="仿宋_GB2312"/>
          <w:i w:val="0"/>
          <w:caps w:val="0"/>
          <w:color w:val="333333"/>
          <w:spacing w:val="0"/>
          <w:sz w:val="32"/>
          <w:szCs w:val="32"/>
          <w:shd w:val="clear" w:fill="FFFFFF"/>
        </w:rPr>
        <w:t>，对信访工作相关政策法规公开公布侧重于公开国家、省级信访工作法规；二是</w:t>
      </w:r>
      <w:r>
        <w:rPr>
          <w:rFonts w:hint="eastAsia" w:ascii="仿宋_GB2312" w:hAnsi="仿宋_GB2312" w:eastAsia="仿宋_GB2312" w:cs="仿宋_GB2312"/>
          <w:i w:val="0"/>
          <w:caps w:val="0"/>
          <w:color w:val="333333"/>
          <w:spacing w:val="0"/>
          <w:sz w:val="32"/>
          <w:szCs w:val="32"/>
          <w:shd w:val="clear" w:fill="FFFFFF"/>
          <w:lang w:eastAsia="zh-CN"/>
        </w:rPr>
        <w:t>政府信息发布需更加规范，重点领域信息公开仍需加强，公开队伍建设仍需加强。</w:t>
      </w:r>
      <w:r>
        <w:rPr>
          <w:rFonts w:hint="eastAsia" w:ascii="仿宋_GB2312" w:hAnsi="仿宋_GB2312" w:eastAsia="仿宋_GB2312" w:cs="仿宋_GB2312"/>
          <w:i w:val="0"/>
          <w:caps w:val="0"/>
          <w:color w:val="333333"/>
          <w:spacing w:val="0"/>
          <w:sz w:val="32"/>
          <w:szCs w:val="32"/>
          <w:shd w:val="clear" w:fill="FFFFFF"/>
        </w:rPr>
        <w:t>202</w:t>
      </w:r>
      <w:r>
        <w:rPr>
          <w:rFonts w:hint="eastAsia" w:ascii="仿宋_GB2312" w:hAnsi="仿宋_GB2312" w:eastAsia="仿宋_GB2312" w:cs="仿宋_GB2312"/>
          <w:i w:val="0"/>
          <w:caps w:val="0"/>
          <w:color w:val="333333"/>
          <w:spacing w:val="0"/>
          <w:sz w:val="32"/>
          <w:szCs w:val="32"/>
          <w:shd w:val="clear" w:fill="FFFFFF"/>
          <w:lang w:val="en-US" w:eastAsia="zh-CN"/>
        </w:rPr>
        <w:t>6</w:t>
      </w:r>
      <w:r>
        <w:rPr>
          <w:rFonts w:hint="eastAsia" w:ascii="仿宋_GB2312" w:hAnsi="仿宋_GB2312" w:eastAsia="仿宋_GB2312" w:cs="仿宋_GB2312"/>
          <w:i w:val="0"/>
          <w:caps w:val="0"/>
          <w:color w:val="333333"/>
          <w:spacing w:val="0"/>
          <w:sz w:val="32"/>
          <w:szCs w:val="32"/>
          <w:shd w:val="clear" w:fill="FFFFFF"/>
        </w:rPr>
        <w:t>年，市信访局将继续认真按照国务院、省、市关于政务公开工作的有关要求，结合我局工作实际，一是不断加大政府信息公开培训力度。通过专家讲座、业务研讨、案例分析、座谈交流等多种形式,加强主动公开、依申请公开、政策解读、舆情回应和新媒体应用等方面的培训,切实提升政府信息公开工作整体水平；二是进一步拓宽公开内容。围绕市委市政府工作安排部署，综合运用新闻发布、图文解读等多种措施，发布政策、做好解读、回应关切；三是</w:t>
      </w:r>
      <w:r>
        <w:rPr>
          <w:rFonts w:hint="eastAsia" w:ascii="仿宋_GB2312" w:hAnsi="仿宋_GB2312" w:eastAsia="仿宋_GB2312" w:cs="仿宋_GB2312"/>
          <w:i w:val="0"/>
          <w:caps w:val="0"/>
          <w:color w:val="333333"/>
          <w:spacing w:val="0"/>
          <w:sz w:val="32"/>
          <w:szCs w:val="32"/>
          <w:shd w:val="clear" w:fill="FFFFFF"/>
          <w:lang w:eastAsia="zh-CN"/>
        </w:rPr>
        <w:t>定期开展排查整改，在保证更新频次的前提下，提高公开内容质量。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黑体" w:hAnsi="黑体" w:eastAsia="黑体" w:cs="黑体"/>
          <w:i w:val="0"/>
          <w:caps w:val="0"/>
          <w:color w:val="333333"/>
          <w:spacing w:val="0"/>
          <w:sz w:val="32"/>
          <w:szCs w:val="32"/>
        </w:rPr>
      </w:pPr>
      <w:r>
        <w:rPr>
          <w:rFonts w:hint="eastAsia" w:ascii="黑体" w:hAnsi="黑体" w:eastAsia="黑体" w:cs="黑体"/>
          <w:i w:val="0"/>
          <w:caps w:val="0"/>
          <w:color w:val="333333"/>
          <w:spacing w:val="0"/>
          <w:sz w:val="32"/>
          <w:szCs w:val="32"/>
          <w:shd w:val="clear" w:fill="FFFFFF"/>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eastAsia="zh-CN"/>
        </w:rPr>
        <w:t>本机关</w:t>
      </w:r>
      <w:r>
        <w:rPr>
          <w:rFonts w:hint="eastAsia" w:ascii="仿宋_GB2312" w:hAnsi="仿宋_GB2312" w:eastAsia="仿宋_GB2312" w:cs="仿宋_GB2312"/>
          <w:i w:val="0"/>
          <w:caps w:val="0"/>
          <w:color w:val="333333"/>
          <w:spacing w:val="0"/>
          <w:sz w:val="32"/>
          <w:szCs w:val="32"/>
          <w:shd w:val="clear" w:fill="FFFFFF"/>
          <w:lang w:val="en-US" w:eastAsia="zh-CN"/>
        </w:rPr>
        <w:t>2025年度未收取政府信息公开信息处理费。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本报告电子版可从“晋城市人民政府”门户网站（</w:t>
      </w:r>
      <w:bookmarkStart w:id="1" w:name="OLE_LINK2"/>
      <w:r>
        <w:rPr>
          <w:rFonts w:hint="eastAsia" w:ascii="仿宋_GB2312" w:hAnsi="仿宋_GB2312" w:eastAsia="仿宋_GB2312" w:cs="仿宋_GB2312"/>
          <w:i w:val="0"/>
          <w:caps w:val="0"/>
          <w:color w:val="333333"/>
          <w:spacing w:val="0"/>
          <w:sz w:val="32"/>
          <w:szCs w:val="32"/>
          <w:shd w:val="clear" w:fill="FFFFFF"/>
          <w:lang w:val="en-US" w:eastAsia="zh-CN"/>
        </w:rPr>
        <w:t>https://www.jcgov.gov.cn/</w:t>
      </w:r>
      <w:bookmarkEnd w:id="1"/>
      <w:r>
        <w:rPr>
          <w:rFonts w:hint="eastAsia" w:ascii="仿宋_GB2312" w:hAnsi="仿宋_GB2312" w:eastAsia="仿宋_GB2312" w:cs="仿宋_GB2312"/>
          <w:i w:val="0"/>
          <w:caps w:val="0"/>
          <w:color w:val="333333"/>
          <w:spacing w:val="0"/>
          <w:sz w:val="32"/>
          <w:szCs w:val="32"/>
          <w:shd w:val="clear" w:fill="FFFFFF"/>
          <w:lang w:val="en-US" w:eastAsia="zh-CN"/>
        </w:rPr>
        <w:t>）下载。</w:t>
      </w:r>
      <w:r>
        <w:rPr>
          <w:rFonts w:hint="eastAsia" w:ascii="微软雅黑" w:hAnsi="微软雅黑" w:eastAsia="微软雅黑" w:cs="微软雅黑"/>
          <w:i w:val="0"/>
          <w:caps w:val="0"/>
          <w:color w:val="333333"/>
          <w:spacing w:val="0"/>
          <w:sz w:val="24"/>
          <w:szCs w:val="24"/>
          <w:shd w:val="clear" w:fill="FFFFFF"/>
        </w:rPr>
        <w:t>                                         </w:t>
      </w: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333333"/>
          <w:spacing w:val="0"/>
          <w:sz w:val="32"/>
          <w:szCs w:val="32"/>
          <w:shd w:val="clear" w:fill="FFFFFF"/>
          <w:lang w:val="en-US" w:eastAsia="zh-CN"/>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80" w:firstLineChars="1900"/>
        <w:jc w:val="both"/>
        <w:rPr>
          <w:rFonts w:hint="eastAsia" w:ascii="仿宋_GB2312" w:hAnsi="仿宋_GB2312" w:eastAsia="仿宋_GB2312" w:cs="仿宋_GB2312"/>
          <w:i w:val="0"/>
          <w:caps w:val="0"/>
          <w:color w:val="333333"/>
          <w:spacing w:val="0"/>
          <w:sz w:val="32"/>
          <w:szCs w:val="32"/>
        </w:rPr>
      </w:pPr>
      <w:bookmarkStart w:id="2" w:name="_GoBack"/>
      <w:bookmarkEnd w:id="2"/>
      <w:r>
        <w:rPr>
          <w:rFonts w:hint="eastAsia" w:ascii="仿宋_GB2312" w:hAnsi="仿宋_GB2312" w:eastAsia="仿宋_GB2312" w:cs="仿宋_GB2312"/>
          <w:i w:val="0"/>
          <w:caps w:val="0"/>
          <w:color w:val="333333"/>
          <w:spacing w:val="0"/>
          <w:sz w:val="32"/>
          <w:szCs w:val="32"/>
          <w:shd w:val="clear" w:fill="FFFFFF"/>
        </w:rPr>
        <w:t>晋城市信访局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                                  202</w:t>
      </w:r>
      <w:r>
        <w:rPr>
          <w:rFonts w:hint="eastAsia" w:ascii="仿宋_GB2312" w:hAnsi="仿宋_GB2312" w:eastAsia="仿宋_GB2312" w:cs="仿宋_GB2312"/>
          <w:i w:val="0"/>
          <w:caps w:val="0"/>
          <w:color w:val="333333"/>
          <w:spacing w:val="0"/>
          <w:sz w:val="32"/>
          <w:szCs w:val="32"/>
          <w:shd w:val="clear" w:fill="FFFFFF"/>
          <w:lang w:val="en-US" w:eastAsia="zh-CN"/>
        </w:rPr>
        <w:t>6</w:t>
      </w:r>
      <w:r>
        <w:rPr>
          <w:rFonts w:hint="eastAsia" w:ascii="仿宋_GB2312" w:hAnsi="仿宋_GB2312" w:eastAsia="仿宋_GB2312" w:cs="仿宋_GB2312"/>
          <w:i w:val="0"/>
          <w:caps w:val="0"/>
          <w:color w:val="333333"/>
          <w:spacing w:val="0"/>
          <w:sz w:val="32"/>
          <w:szCs w:val="32"/>
          <w:shd w:val="clear" w:fill="FFFFFF"/>
        </w:rPr>
        <w:t>年</w:t>
      </w:r>
      <w:r>
        <w:rPr>
          <w:rFonts w:hint="eastAsia" w:ascii="仿宋_GB2312" w:hAnsi="仿宋_GB2312" w:eastAsia="仿宋_GB2312" w:cs="仿宋_GB2312"/>
          <w:i w:val="0"/>
          <w:caps w:val="0"/>
          <w:color w:val="333333"/>
          <w:spacing w:val="0"/>
          <w:sz w:val="32"/>
          <w:szCs w:val="32"/>
          <w:shd w:val="clear" w:fill="FFFFFF"/>
          <w:lang w:val="en-US" w:eastAsia="zh-CN"/>
        </w:rPr>
        <w:t>1</w:t>
      </w:r>
      <w:r>
        <w:rPr>
          <w:rFonts w:hint="eastAsia" w:ascii="仿宋_GB2312" w:hAnsi="仿宋_GB2312" w:eastAsia="仿宋_GB2312" w:cs="仿宋_GB2312"/>
          <w:i w:val="0"/>
          <w:caps w:val="0"/>
          <w:color w:val="333333"/>
          <w:spacing w:val="0"/>
          <w:sz w:val="32"/>
          <w:szCs w:val="32"/>
          <w:shd w:val="clear" w:fill="FFFFFF"/>
        </w:rPr>
        <w:t>月</w:t>
      </w:r>
      <w:r>
        <w:rPr>
          <w:rFonts w:hint="eastAsia" w:ascii="仿宋_GB2312" w:hAnsi="仿宋_GB2312" w:eastAsia="仿宋_GB2312" w:cs="仿宋_GB2312"/>
          <w:i w:val="0"/>
          <w:caps w:val="0"/>
          <w:color w:val="333333"/>
          <w:spacing w:val="0"/>
          <w:sz w:val="32"/>
          <w:szCs w:val="32"/>
          <w:shd w:val="clear" w:fill="FFFFFF"/>
          <w:lang w:val="en-US" w:eastAsia="zh-CN"/>
        </w:rPr>
        <w:t>8</w:t>
      </w:r>
      <w:r>
        <w:rPr>
          <w:rFonts w:hint="eastAsia" w:ascii="仿宋_GB2312" w:hAnsi="仿宋_GB2312" w:eastAsia="仿宋_GB2312" w:cs="仿宋_GB2312"/>
          <w:i w:val="0"/>
          <w:caps w:val="0"/>
          <w:color w:val="333333"/>
          <w:spacing w:val="0"/>
          <w:sz w:val="32"/>
          <w:szCs w:val="32"/>
          <w:shd w:val="clear" w:fill="FFFFFF"/>
        </w:rPr>
        <w:t>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8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p>
    <w:sectPr>
      <w:footerReference r:id="rId3" w:type="default"/>
      <w:pgSz w:w="11906" w:h="16838"/>
      <w:pgMar w:top="2098" w:right="1474" w:bottom="1984" w:left="1587" w:header="851" w:footer="992" w:gutter="0"/>
      <w:pgNumType w:fmt="numberInDash"/>
      <w:cols w:space="0" w:num="1"/>
      <w:rtlGutter w:val="0"/>
      <w:docGrid w:type="lines" w:linePitch="5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CE25EA"/>
    <w:multiLevelType w:val="singleLevel"/>
    <w:tmpl w:val="F7CE25E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2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1247A"/>
    <w:rsid w:val="00512602"/>
    <w:rsid w:val="00DE3542"/>
    <w:rsid w:val="011D1946"/>
    <w:rsid w:val="01AC2BEC"/>
    <w:rsid w:val="021F5ABA"/>
    <w:rsid w:val="02490C5D"/>
    <w:rsid w:val="043E1279"/>
    <w:rsid w:val="04C57265"/>
    <w:rsid w:val="0981201E"/>
    <w:rsid w:val="0A580001"/>
    <w:rsid w:val="0AAD2093"/>
    <w:rsid w:val="0B553D75"/>
    <w:rsid w:val="0BF1784A"/>
    <w:rsid w:val="0D053FA1"/>
    <w:rsid w:val="0E5E6424"/>
    <w:rsid w:val="10033202"/>
    <w:rsid w:val="10642360"/>
    <w:rsid w:val="108967E2"/>
    <w:rsid w:val="10E8255F"/>
    <w:rsid w:val="123B3F83"/>
    <w:rsid w:val="125167E3"/>
    <w:rsid w:val="12A44177"/>
    <w:rsid w:val="12B976EE"/>
    <w:rsid w:val="14053B02"/>
    <w:rsid w:val="14F50C2E"/>
    <w:rsid w:val="15F478C2"/>
    <w:rsid w:val="193F0F3C"/>
    <w:rsid w:val="1D7A07B3"/>
    <w:rsid w:val="21935703"/>
    <w:rsid w:val="219C4BC1"/>
    <w:rsid w:val="23610CC7"/>
    <w:rsid w:val="237E1D2E"/>
    <w:rsid w:val="2731247A"/>
    <w:rsid w:val="274B4682"/>
    <w:rsid w:val="27DC62EA"/>
    <w:rsid w:val="2861234F"/>
    <w:rsid w:val="2A626281"/>
    <w:rsid w:val="2AF260C0"/>
    <w:rsid w:val="2B6460F9"/>
    <w:rsid w:val="2DD64076"/>
    <w:rsid w:val="2E5D0A11"/>
    <w:rsid w:val="2F381479"/>
    <w:rsid w:val="2F9846D1"/>
    <w:rsid w:val="30405AAF"/>
    <w:rsid w:val="30480FB1"/>
    <w:rsid w:val="32FC2F67"/>
    <w:rsid w:val="33FF2619"/>
    <w:rsid w:val="36154C6B"/>
    <w:rsid w:val="365F1F28"/>
    <w:rsid w:val="37A9591B"/>
    <w:rsid w:val="38725AC2"/>
    <w:rsid w:val="3AD43B48"/>
    <w:rsid w:val="3B456C96"/>
    <w:rsid w:val="3C7E060F"/>
    <w:rsid w:val="3F5E717E"/>
    <w:rsid w:val="404B757D"/>
    <w:rsid w:val="409E3ACE"/>
    <w:rsid w:val="40EA47BC"/>
    <w:rsid w:val="424E0F7E"/>
    <w:rsid w:val="428A4D71"/>
    <w:rsid w:val="43017765"/>
    <w:rsid w:val="455C7A2F"/>
    <w:rsid w:val="459413DC"/>
    <w:rsid w:val="45D05E56"/>
    <w:rsid w:val="45FF2580"/>
    <w:rsid w:val="478C6C1A"/>
    <w:rsid w:val="489A740F"/>
    <w:rsid w:val="496B3EB0"/>
    <w:rsid w:val="4ABA3D89"/>
    <w:rsid w:val="4CAB43AA"/>
    <w:rsid w:val="50917057"/>
    <w:rsid w:val="513A6B19"/>
    <w:rsid w:val="54711BA9"/>
    <w:rsid w:val="549841EA"/>
    <w:rsid w:val="555B5A60"/>
    <w:rsid w:val="55782138"/>
    <w:rsid w:val="55C35335"/>
    <w:rsid w:val="5656556B"/>
    <w:rsid w:val="57103174"/>
    <w:rsid w:val="57F54985"/>
    <w:rsid w:val="58CB27F8"/>
    <w:rsid w:val="58DD6C84"/>
    <w:rsid w:val="5D045F01"/>
    <w:rsid w:val="5FD810BE"/>
    <w:rsid w:val="6042026D"/>
    <w:rsid w:val="61E055C6"/>
    <w:rsid w:val="61E57FAB"/>
    <w:rsid w:val="62B70892"/>
    <w:rsid w:val="63155873"/>
    <w:rsid w:val="64694F5A"/>
    <w:rsid w:val="64FB0B2F"/>
    <w:rsid w:val="66BC2701"/>
    <w:rsid w:val="67733150"/>
    <w:rsid w:val="67D41AE2"/>
    <w:rsid w:val="69252399"/>
    <w:rsid w:val="69C03015"/>
    <w:rsid w:val="69FA2B95"/>
    <w:rsid w:val="6A5D700C"/>
    <w:rsid w:val="6B0323F1"/>
    <w:rsid w:val="6B7758B4"/>
    <w:rsid w:val="6BD46614"/>
    <w:rsid w:val="6C2967BA"/>
    <w:rsid w:val="6DB77441"/>
    <w:rsid w:val="6E536013"/>
    <w:rsid w:val="6EDF6390"/>
    <w:rsid w:val="6F1359F1"/>
    <w:rsid w:val="70351928"/>
    <w:rsid w:val="706C5A62"/>
    <w:rsid w:val="70D0537D"/>
    <w:rsid w:val="70EE1738"/>
    <w:rsid w:val="713B143B"/>
    <w:rsid w:val="71C34877"/>
    <w:rsid w:val="72184EB6"/>
    <w:rsid w:val="72813312"/>
    <w:rsid w:val="72D1171D"/>
    <w:rsid w:val="73576CE7"/>
    <w:rsid w:val="73B462AD"/>
    <w:rsid w:val="7654101B"/>
    <w:rsid w:val="7680031E"/>
    <w:rsid w:val="76C6456E"/>
    <w:rsid w:val="772321AA"/>
    <w:rsid w:val="77F27ADA"/>
    <w:rsid w:val="78CC5D4F"/>
    <w:rsid w:val="7910594E"/>
    <w:rsid w:val="795B778F"/>
    <w:rsid w:val="79670AF9"/>
    <w:rsid w:val="797A2E27"/>
    <w:rsid w:val="7A85031E"/>
    <w:rsid w:val="7AF70C1C"/>
    <w:rsid w:val="7B1D36AF"/>
    <w:rsid w:val="7B316C1D"/>
    <w:rsid w:val="7D38301A"/>
    <w:rsid w:val="7DE934FF"/>
    <w:rsid w:val="7ECB1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qFormat/>
    <w:uiPriority w:val="0"/>
    <w:rPr>
      <w:rFonts w:ascii="微软雅黑" w:hAnsi="微软雅黑" w:eastAsia="微软雅黑" w:cs="微软雅黑"/>
      <w:color w:val="222222"/>
      <w:u w:val="none"/>
    </w:rPr>
  </w:style>
  <w:style w:type="character" w:styleId="7">
    <w:name w:val="Emphasis"/>
    <w:basedOn w:val="5"/>
    <w:qFormat/>
    <w:uiPriority w:val="0"/>
  </w:style>
  <w:style w:type="character" w:styleId="8">
    <w:name w:val="Hyperlink"/>
    <w:basedOn w:val="5"/>
    <w:qFormat/>
    <w:uiPriority w:val="0"/>
    <w:rPr>
      <w:rFonts w:hint="eastAsia" w:ascii="微软雅黑" w:hAnsi="微软雅黑" w:eastAsia="微软雅黑" w:cs="微软雅黑"/>
      <w:color w:val="222222"/>
      <w:u w:val="none"/>
    </w:rPr>
  </w:style>
  <w:style w:type="character" w:styleId="9">
    <w:name w:val="HTML Code"/>
    <w:basedOn w:val="5"/>
    <w:qFormat/>
    <w:uiPriority w:val="0"/>
    <w:rPr>
      <w:rFonts w:ascii="Courier New" w:hAnsi="Courier New"/>
      <w:sz w:val="20"/>
    </w:rPr>
  </w:style>
  <w:style w:type="character" w:customStyle="1" w:styleId="11">
    <w:name w:val="zwxxgk_bnt5"/>
    <w:basedOn w:val="5"/>
    <w:qFormat/>
    <w:uiPriority w:val="0"/>
  </w:style>
  <w:style w:type="character" w:customStyle="1" w:styleId="12">
    <w:name w:val="zwxxgk_bnt51"/>
    <w:basedOn w:val="5"/>
    <w:qFormat/>
    <w:uiPriority w:val="0"/>
  </w:style>
  <w:style w:type="character" w:customStyle="1" w:styleId="13">
    <w:name w:val="zwxxgk_bnt6"/>
    <w:basedOn w:val="5"/>
    <w:qFormat/>
    <w:uiPriority w:val="0"/>
  </w:style>
  <w:style w:type="character" w:customStyle="1" w:styleId="14">
    <w:name w:val="zwxxgk_bnt61"/>
    <w:basedOn w:val="5"/>
    <w:qFormat/>
    <w:uiPriority w:val="0"/>
  </w:style>
  <w:style w:type="character" w:customStyle="1" w:styleId="15">
    <w:name w:val="zwxxgk_bnt62"/>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83</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2021-01-14T01:46:00Z</dcterms:created>
  <dc:creator>Administrator</dc:creator>
  <cp:lastModifiedBy>Administrator</cp:lastModifiedBy>
  <dcterms:modified xsi:type="dcterms:W3CDTF">2026-01-20T07:36:08Z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