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1E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晋城市“十五五”数字经济发展规划</w:t>
      </w:r>
    </w:p>
    <w:p w14:paraId="2B8AD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</w:p>
    <w:p w14:paraId="31726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送审稿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</w:p>
    <w:p w14:paraId="2F48D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left"/>
        <w:textAlignment w:val="auto"/>
        <w:rPr>
          <w:rFonts w:hint="default"/>
          <w:highlight w:val="none"/>
          <w:lang w:val="en-US" w:eastAsia="zh-CN"/>
        </w:rPr>
      </w:pPr>
      <w:bookmarkStart w:id="0" w:name="_Toc6931"/>
    </w:p>
    <w:p w14:paraId="14B3F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为深入贯彻习近平总书记关于数字经济发展的重要论述，全面落实《中华人民共和国国民经济和社会发展第十五个五年规划纲要》关于深入推进数字中国建设、促进实体经济和数字经济深度融合的战略部署，紧扣晋城做强数字经济引擎、培育发展新质生产力的发展目标，依据《“十五五”数字山西建设规划》《晋城市国民经济和社会发展第十五个五年规划纲要》，编制本规划。</w:t>
      </w:r>
    </w:p>
    <w:p w14:paraId="210076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bookmarkStart w:id="1" w:name="_Toc15788"/>
      <w:bookmarkStart w:id="2" w:name="_Toc8605"/>
      <w:bookmarkStart w:id="3" w:name="_Toc19244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</w:t>
      </w:r>
      <w:bookmarkEnd w:id="0"/>
      <w:bookmarkEnd w:id="1"/>
      <w:bookmarkEnd w:id="2"/>
      <w:bookmarkEnd w:id="3"/>
      <w:bookmarkStart w:id="4" w:name="_Toc550"/>
      <w:bookmarkStart w:id="5" w:name="_Toc13534"/>
      <w:bookmarkStart w:id="6" w:name="_Toc7055"/>
      <w:bookmarkStart w:id="7" w:name="_Toc19730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总体要求</w:t>
      </w:r>
      <w:bookmarkEnd w:id="4"/>
      <w:bookmarkEnd w:id="5"/>
      <w:bookmarkEnd w:id="6"/>
      <w:bookmarkEnd w:id="7"/>
    </w:p>
    <w:p w14:paraId="175CC5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8" w:name="_Toc4168"/>
      <w:bookmarkStart w:id="9" w:name="_Toc2046"/>
      <w:bookmarkStart w:id="10" w:name="_Toc20782"/>
      <w:bookmarkStart w:id="11" w:name="_Toc350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（一）指导思想</w:t>
      </w:r>
      <w:bookmarkEnd w:id="8"/>
      <w:bookmarkEnd w:id="9"/>
      <w:bookmarkEnd w:id="10"/>
      <w:bookmarkEnd w:id="11"/>
    </w:p>
    <w:p w14:paraId="43275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坚持以习近平新时代中国特色社会主义思想为指导，全面贯彻党的二十大和二十届历次全会精神，深入学习贯彻习近平总书记对山西工作的重要讲话重要指示精神，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紧扣省委、省政府数字山西建设部署及市委、市政府数字晋城总体布局，立足资源型城市转型实际，坚持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大抓工业、大兴产业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工作导向，以提升数字经济综合实力为目标，统筹数据要素价值释放与数字技术赋能实体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统筹发展和安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全，因地制宜、系统谋划，加快构建特色鲜明、竞争力强的现代化数字经济发展体系，为奋力谱写中国式现代化晋城新篇章提供坚实支撑。</w:t>
      </w:r>
    </w:p>
    <w:p w14:paraId="61AB58F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1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12" w:name="_Toc23559"/>
      <w:bookmarkStart w:id="13" w:name="_Toc6335"/>
      <w:bookmarkStart w:id="14" w:name="_Toc6648"/>
      <w:bookmarkStart w:id="15" w:name="_Toc25505"/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</w:rPr>
        <w:t>）发展目标</w:t>
      </w:r>
      <w:bookmarkEnd w:id="12"/>
      <w:bookmarkEnd w:id="13"/>
      <w:bookmarkEnd w:id="14"/>
      <w:bookmarkEnd w:id="15"/>
    </w:p>
    <w:p w14:paraId="23636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到2030年，立足“建设数字经济标杆城市”战略定位，做强数字经济引擎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全面建成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32"/>
          <w:szCs w:val="32"/>
        </w:rPr>
        <w:t>特色化、集群化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高端化的现代化数字产业体系，全市数字经济核心产业增加值年均增速保持在8%左右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为2035年基本实现社会主义现代化奠定坚实基础。</w:t>
      </w:r>
    </w:p>
    <w:p w14:paraId="5C423BE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——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数据要素价值充分释放。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基本建成制度健全、机制顺畅的数据要素市场体系，数据产权、流通交易、安全治理等关键环节取得突破，公共数据授权运营率先形成示范。</w:t>
      </w:r>
    </w:p>
    <w:p w14:paraId="79720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——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数字基础设施坚实有力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。5G用户普及率达95%，城市算力设施集约共享、供需精准匹配，全面满足通算、智算及国产化算力多元需求。</w:t>
      </w:r>
    </w:p>
    <w:p w14:paraId="45B52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——数字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核心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产业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不断壮大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光机电产业规模突破1200亿元、集聚企业超200家，人工智能、数据产业、未来产业实现标志性突破，数字产业规模与能级迈上新台阶。</w:t>
      </w:r>
    </w:p>
    <w:p w14:paraId="36CD164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——实数融合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发展树立典范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智慧能源、智能制造、智慧文旅、智慧农业等领域融合成效显著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高水平建成省级制造业数字化改造先行区，煤炭行业整体达到绿色矿山标准。</w:t>
      </w:r>
    </w:p>
    <w:p w14:paraId="2C7B4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——数字治理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效能全面提升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“一网通办”“一网统管”“一网通享”水平全面提升，“一类事”治理模式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覆盖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打造全省示范、全国领先的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智慧治理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标杆。</w:t>
      </w:r>
    </w:p>
    <w:p w14:paraId="1B4C46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1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16" w:name="_Toc29917"/>
      <w:bookmarkStart w:id="17" w:name="_Toc11719"/>
      <w:bookmarkStart w:id="18" w:name="_Toc30163"/>
      <w:bookmarkStart w:id="19" w:name="_Toc10795"/>
    </w:p>
    <w:p w14:paraId="12034B4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1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</w:rPr>
        <w:t>）总体思路</w:t>
      </w:r>
      <w:bookmarkEnd w:id="16"/>
      <w:bookmarkEnd w:id="17"/>
      <w:bookmarkEnd w:id="18"/>
      <w:bookmarkEnd w:id="19"/>
    </w:p>
    <w:p w14:paraId="5D308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深入实施数字经济“2242”发展战略。即：以“数据要素×”与“人工智能+”为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双轮驱动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，贯穿数字经济发展全过程；夯实一体化数据要素市场和数字基础设施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两大底座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；聚焦数字产业、实数融合、数字生活、数字治理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四大重点领域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，系统推进各项任务与工程；强化发展生态与要素保障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两大体系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88BAC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bookmarkStart w:id="20" w:name="_Toc14469"/>
      <w:bookmarkStart w:id="21" w:name="_Toc22591"/>
      <w:bookmarkStart w:id="22" w:name="_Toc3580"/>
      <w:bookmarkStart w:id="23" w:name="_Toc15389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</w:t>
      </w:r>
      <w:bookmarkStart w:id="24" w:name="_Hlk218780159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培育一体化数据市场，激发数据要素价值</w:t>
      </w:r>
      <w:bookmarkEnd w:id="20"/>
      <w:bookmarkEnd w:id="21"/>
      <w:bookmarkEnd w:id="22"/>
      <w:bookmarkEnd w:id="23"/>
      <w:bookmarkEnd w:id="24"/>
    </w:p>
    <w:p w14:paraId="15B494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bookmarkStart w:id="25" w:name="_Toc22938"/>
      <w:bookmarkStart w:id="26" w:name="_Toc24319"/>
      <w:bookmarkStart w:id="27" w:name="_Toc17435"/>
      <w:bookmarkStart w:id="28" w:name="_Toc21416"/>
      <w:bookmarkStart w:id="29" w:name="_Hlk218780166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（一）提升数据要素供给质量</w:t>
      </w:r>
      <w:bookmarkEnd w:id="25"/>
      <w:bookmarkEnd w:id="26"/>
      <w:bookmarkEnd w:id="27"/>
      <w:bookmarkEnd w:id="28"/>
    </w:p>
    <w:bookmarkEnd w:id="29"/>
    <w:p w14:paraId="7691A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推进全域数据汇聚治理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。依托一体化数据综合管理平台，按需汇聚政务数据，有序接入水电气热、公交等公共数据，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公共数据全量编目，实现 “一本账”管理。健全“一数一源、多源校核”机制，强化数据源头治理与质量监管。</w:t>
      </w:r>
    </w:p>
    <w:p w14:paraId="2606B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深化公共数据开放运营。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动态更新数据开放目录，优先开放社会刚需、增值潜力突出的数据。搭建全市统一公共数据授权运营平台，落实授权运营机制，实施数据分级分类开发利用，围绕政务服务、民生保障、城市治理，打造晋城特色高质量行业数据集与公共数据产品。</w:t>
      </w:r>
    </w:p>
    <w:p w14:paraId="25D9F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创新企业数据供给模式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。鼓励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设立数据运营主体，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数据贯标评估、建立首席数据官制度。支持建设供应链、行业级数据中台，集聚产业多源数据，推动企业、行业数据开放开发，赋能中小企业融入数据应用生态；引导企业搭建企业级高质量数据集及全生命周期治理体系，支撑专属大模型建设。</w:t>
      </w:r>
    </w:p>
    <w:p w14:paraId="650B88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30" w:name="_Toc8043"/>
      <w:bookmarkStart w:id="31" w:name="_Toc11097"/>
      <w:bookmarkStart w:id="32" w:name="_Toc30301"/>
      <w:bookmarkStart w:id="33" w:name="_Toc2673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（二）推动数据要素有序流动</w:t>
      </w:r>
      <w:bookmarkEnd w:id="30"/>
      <w:bookmarkEnd w:id="31"/>
      <w:bookmarkEnd w:id="32"/>
      <w:bookmarkEnd w:id="33"/>
    </w:p>
    <w:p w14:paraId="7F9AF8DF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建立数据流通机制。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企业开展数据价值评估与资产入表，拓展质押融资、作价入股等数据金融应用。支持数据密集型企业开发数据产品，依托市场交易、授权运营实现合规流通。围绕煤炭、钢铁等产业，支持企业搭建行业数据流通平台，探索可信数据空间等新型流通模式。</w:t>
      </w:r>
    </w:p>
    <w:p w14:paraId="01B9DC17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平台联动融入统一市场。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促进一体化数据平台与省级数据交易平台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打通</w:t>
      </w:r>
      <w:r>
        <w:rPr>
          <w:rFonts w:hint="eastAsia" w:ascii="仿宋_GB2312" w:hAnsi="仿宋_GB2312" w:eastAsia="仿宋_GB2312" w:cs="仿宋_GB2312"/>
          <w:sz w:val="32"/>
          <w:szCs w:val="32"/>
        </w:rPr>
        <w:t>，实现身份互认、资源协同、生态融合，构建一体化数据要素市场体系。引导各部门用好省级交易平台，打造特色数据要素价值化样板。</w:t>
      </w:r>
    </w:p>
    <w:p w14:paraId="25B6463D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提升数据要素专业服务能力。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培育数据经纪、合规认证、安全审计、质量评价等专业服务机构，支持共建数据要素创新实验室、孵化平台，为企业提供技术研发、产业对接、金融保障等综合服务。</w:t>
      </w:r>
    </w:p>
    <w:p w14:paraId="16A716A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34" w:name="_Toc15338"/>
      <w:bookmarkStart w:id="35" w:name="_Toc19963"/>
      <w:bookmarkStart w:id="36" w:name="_Toc13014"/>
      <w:bookmarkStart w:id="37" w:name="_Toc22377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（三）深化数据要素融合应用</w:t>
      </w:r>
      <w:bookmarkEnd w:id="34"/>
      <w:bookmarkEnd w:id="35"/>
      <w:bookmarkEnd w:id="36"/>
      <w:bookmarkEnd w:id="37"/>
    </w:p>
    <w:p w14:paraId="27BE6569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协同共创多元融合场景。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“数据要素×”，围绕能源、制造、文旅、城市治理挖掘典型应用。构建政企协同、社会参与培育机制，优先推进涉企公共数据与社会数据安全合规融合，引入多元运营主体，打造公共数据活化示范场景及产品，探索设立数据创新基金。</w:t>
      </w:r>
    </w:p>
    <w:p w14:paraId="1673375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健全供需匹配机制。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探索组建数据场景创新促进中心，搭建场景产品对接平台，归集场景需求、新技术新产品及创新方案，开展场景挖掘、清单发布、项目路演等活动，强化场景供需对接联动。</w:t>
      </w:r>
    </w:p>
    <w:p w14:paraId="3F29C2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bookmarkStart w:id="38" w:name="_Toc26943"/>
      <w:bookmarkStart w:id="39" w:name="_Toc28281"/>
      <w:bookmarkStart w:id="40" w:name="_Toc651"/>
      <w:bookmarkStart w:id="41" w:name="_Toc11731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、完善数字基础设施，筑牢数字经济新底座</w:t>
      </w:r>
      <w:bookmarkEnd w:id="38"/>
      <w:bookmarkEnd w:id="39"/>
      <w:bookmarkEnd w:id="40"/>
      <w:bookmarkEnd w:id="41"/>
    </w:p>
    <w:p w14:paraId="03294B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bookmarkStart w:id="42" w:name="_Toc31259"/>
      <w:bookmarkStart w:id="43" w:name="_Toc12689"/>
      <w:bookmarkStart w:id="44" w:name="_Toc10573"/>
      <w:bookmarkStart w:id="45" w:name="_Toc31099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（一）适度超前部署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网络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基础设施</w:t>
      </w:r>
      <w:bookmarkEnd w:id="42"/>
      <w:bookmarkEnd w:id="43"/>
      <w:bookmarkEnd w:id="44"/>
      <w:bookmarkEnd w:id="45"/>
    </w:p>
    <w:p w14:paraId="053C7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打造高速泛在移动网络。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拓展5G覆盖广度和深度，提高产业园区、文旅景区、高速及高铁沿线等场景深度覆盖，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补齐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居民区电梯、地下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空间信号短板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。扩大5G-A网络规模部署，争取6G试点商用。</w:t>
      </w:r>
    </w:p>
    <w:p w14:paraId="03AEE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深化城市光网能力升级。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加快城乡10G-PON网络深度覆盖，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在新老建筑改造中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同步建设FTTR，推进新一代无线局域网应用，升级家庭智能网关。推动重点场景及园区网络向万兆升级。提升宽带上行速率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推动应用和终端设备IPv6升级改造。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9"/>
      </w:tblGrid>
      <w:tr w14:paraId="6A7D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noWrap w:val="0"/>
            <w:vAlign w:val="top"/>
          </w:tcPr>
          <w:p w14:paraId="26364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专栏1  网络提质工程</w:t>
            </w:r>
          </w:p>
        </w:tc>
      </w:tr>
      <w:tr w14:paraId="3C4D4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noWrap w:val="0"/>
            <w:vAlign w:val="top"/>
          </w:tcPr>
          <w:p w14:paraId="56B42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深化5G网络演进。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扩大5G-A网络规模部署和热点区域连续覆盖。加强移动物联网建设，实现5G RedCap在县城以上连续覆盖。</w:t>
            </w:r>
          </w:p>
          <w:p w14:paraId="62A52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推动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偏远地区网络升级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逐步推进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双千兆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网络向有条件有需求的乡村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和山区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延伸。</w:t>
            </w:r>
          </w:p>
          <w:p w14:paraId="1869D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firstLine="482" w:firstLineChars="200"/>
              <w:jc w:val="both"/>
              <w:textAlignment w:val="auto"/>
              <w:rPr>
                <w:rFonts w:hint="eastAsia"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加快网络智能升级。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应用数字孪生、网络大模型、智能体等技术装备，提升网络建设运营能力。</w:t>
            </w:r>
          </w:p>
        </w:tc>
      </w:tr>
    </w:tbl>
    <w:p w14:paraId="2A5139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46" w:name="_Toc17663"/>
      <w:bookmarkStart w:id="47" w:name="_Toc16917"/>
      <w:bookmarkStart w:id="48" w:name="_Toc30309"/>
      <w:bookmarkStart w:id="49" w:name="_Toc24451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（二）统筹布局数据基础设施</w:t>
      </w:r>
      <w:bookmarkEnd w:id="46"/>
      <w:bookmarkEnd w:id="47"/>
      <w:bookmarkEnd w:id="48"/>
      <w:bookmarkEnd w:id="49"/>
    </w:p>
    <w:p w14:paraId="3F81A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探索布局数据汇聚、处理、流通、应用及安全等数据基础设施。完善城市数据汇聚平台，汇聚多模态数据，服务城市大模型优化及跨部门共享应用。建设公共数据授权运营服务平台。分类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城市、行业、企业可信数据空间。依托全省统筹部署，适时推动与省级功能节点互联互通。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3"/>
      </w:tblGrid>
      <w:tr w14:paraId="0469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3" w:type="dxa"/>
            <w:noWrap w:val="0"/>
            <w:vAlign w:val="top"/>
          </w:tcPr>
          <w:p w14:paraId="718B0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专栏2  数据底座筑基工程</w:t>
            </w:r>
          </w:p>
        </w:tc>
      </w:tr>
      <w:tr w14:paraId="249E1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3" w:type="dxa"/>
            <w:noWrap w:val="0"/>
            <w:vAlign w:val="top"/>
          </w:tcPr>
          <w:p w14:paraId="314E4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创新可信数据空间建设。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围绕城市全域数字化转型需求，统筹打造市级可信数据空间。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面向先进制造、采矿业、文旅康养等领域，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支持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企业因地制宜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打造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高质量数据集，探索建设行业、企业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可信数据空间。</w:t>
            </w:r>
          </w:p>
        </w:tc>
      </w:tr>
    </w:tbl>
    <w:p w14:paraId="4E81D0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bookmarkStart w:id="50" w:name="_Toc5615"/>
      <w:bookmarkStart w:id="51" w:name="_Toc23774"/>
      <w:bookmarkStart w:id="52" w:name="_Toc27949"/>
      <w:bookmarkStart w:id="53" w:name="_Toc21450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科学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配置算力基础设施</w:t>
      </w:r>
      <w:bookmarkEnd w:id="50"/>
      <w:bookmarkEnd w:id="51"/>
      <w:bookmarkEnd w:id="52"/>
      <w:bookmarkEnd w:id="53"/>
    </w:p>
    <w:p w14:paraId="255CE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积极融入全省一体化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算力网络服务平台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支持公共算力资源接入省级调度平台。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梯次布局云计算与边缘数据中心，推进云边端协同。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紧扣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国家算力发展政策，按需配置通用、智能算力，构建多元异构算力供给体系。加快发展绿色算力，推动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、数字孪生等技术深度应用于数据中心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建设运维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全流程。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5E3B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48166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专栏3  算力供给提质工程</w:t>
            </w:r>
          </w:p>
        </w:tc>
      </w:tr>
      <w:tr w14:paraId="2F4E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09F3C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实施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全行业信息化公共基础设施建设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项目。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auto"/>
              </w:rPr>
              <w:t>面向全市各级政府部门，构建安全可靠的国产化基础服务平台与算力体系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提升政务云基础支撑能力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36273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深化数网算电协同。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推动算网设施与业务应用协同，按需在重点区域部署轻量化边缘算力。探索绿电与算力协同布局，打造算电协同项目，鼓励算力企业开展绿电直连。</w:t>
            </w:r>
          </w:p>
        </w:tc>
      </w:tr>
    </w:tbl>
    <w:p w14:paraId="7FE146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54" w:name="_Toc23149"/>
      <w:bookmarkStart w:id="55" w:name="_Toc29429"/>
      <w:bookmarkStart w:id="56" w:name="_Toc3191"/>
      <w:bookmarkStart w:id="57" w:name="_Toc2271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（四）夯实智慧城市基础设施</w:t>
      </w:r>
      <w:bookmarkEnd w:id="54"/>
      <w:bookmarkEnd w:id="55"/>
      <w:bookmarkEnd w:id="56"/>
      <w:bookmarkEnd w:id="57"/>
    </w:p>
    <w:p w14:paraId="7FAB50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/>
          <w:highlight w:val="none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"/>
        </w:rPr>
        <w:t>深入落实中央财政支持城市更新行动，加快视频监控、物联感知设备补点扩面，建强市县一体化视频融合平台，实现城市视频资源汇聚共享。推进城市生命线工程，开展城市基础设施数字化、智能化改造，提升城市安全韧性。构建城市三维数字底座，支撑全域数字化转型。发展智慧社区，推进公共设施数字化升级，科学布设视频监控、充电桩等设施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1"/>
      </w:tblGrid>
      <w:tr w14:paraId="27A8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1" w:type="dxa"/>
            <w:noWrap w:val="0"/>
            <w:vAlign w:val="top"/>
          </w:tcPr>
          <w:p w14:paraId="5F700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新型城市基础设施数字化改造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工程</w:t>
            </w:r>
          </w:p>
        </w:tc>
      </w:tr>
      <w:tr w14:paraId="1E8E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1" w:type="dxa"/>
            <w:noWrap w:val="0"/>
            <w:vAlign w:val="top"/>
          </w:tcPr>
          <w:p w14:paraId="7F787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开展视频监控与物联感知设备补点扫盲。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聚焦城乡接合部、农村重要路口、交通主干道及人员密集场所等重点区域和薄弱环节，布设高清摄像、人脸识别等智能感知设备，提升全域视频监控覆盖率与在线率。</w:t>
            </w:r>
          </w:p>
          <w:p w14:paraId="29483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default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推进智慧社区建设扩面提质。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深化平安社区、共享社区系统建设，拓展社会综合治理、应急调度指挥等智慧应用。配套水电监测、充电桩等便民设施及老幼托管等公共服务空间，实现社区公共服务便捷化、生活环境智能化</w:t>
            </w:r>
            <w:r>
              <w:rPr>
                <w:rFonts w:hint="default" w:eastAsia="仿宋_GB2312" w:cs="Times New Roman"/>
                <w:sz w:val="24"/>
                <w:highlight w:val="none"/>
                <w:lang w:val="en-US" w:eastAsia="zh-CN"/>
              </w:rPr>
              <w:t>。</w:t>
            </w:r>
          </w:p>
        </w:tc>
      </w:tr>
    </w:tbl>
    <w:p w14:paraId="7F094F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bookmarkStart w:id="58" w:name="_Toc22773"/>
      <w:bookmarkStart w:id="59" w:name="_Toc30895"/>
      <w:bookmarkStart w:id="60" w:name="_Toc1879"/>
      <w:bookmarkStart w:id="61" w:name="_Toc13552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系统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布局数字产业，塑造数字经济新优势</w:t>
      </w:r>
      <w:bookmarkEnd w:id="58"/>
      <w:bookmarkEnd w:id="59"/>
      <w:bookmarkEnd w:id="60"/>
      <w:bookmarkEnd w:id="61"/>
    </w:p>
    <w:p w14:paraId="682086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62" w:name="_Toc24278"/>
      <w:bookmarkStart w:id="63" w:name="_Toc30731"/>
      <w:bookmarkStart w:id="64" w:name="_Toc17632"/>
      <w:bookmarkStart w:id="65" w:name="_Toc13573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（一）推动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光机电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产业能级跃升</w:t>
      </w:r>
      <w:bookmarkEnd w:id="62"/>
      <w:bookmarkEnd w:id="63"/>
      <w:bookmarkEnd w:id="64"/>
      <w:bookmarkEnd w:id="65"/>
    </w:p>
    <w:p w14:paraId="28BA1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做精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视觉系统产业。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bidi="ar"/>
        </w:rPr>
        <w:t>以光学镜头、图像传感器、核心模组制造为基础，发展工业相机、智能检测设备、高端光学仪器等产品。深耕半导体制造、精密装备、智能矿山等领域的检测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定位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bidi="ar"/>
        </w:rPr>
        <w:t>应用，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构建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bidi="ar"/>
        </w:rPr>
        <w:t>核心部件到行业解决方案的全链条。推动LED、光学镜头、光传感元器件、视觉模组协同创新，打造覆盖光源、镜头、相机、软件与集成的完整产业生态。</w:t>
      </w:r>
    </w:p>
    <w:p w14:paraId="7742C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做强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新材料产业。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聚焦光机电产业需求，重点发展半导体衬底材料、高端光学玻璃与晶体、精密结构陶瓷及功能性薄膜材料。巩固硬质合金优势，开发纳米硬质合金材料，拓展高性能刀具及耐磨部件。加快碳纳米材料、纳米微晶陶瓷等前沿材料研发与中试，推进锑化物激光器芯片、半导体复合衬底等规模化量产，形成关键材料支撑能力。</w:t>
      </w:r>
    </w:p>
    <w:p w14:paraId="6CB3F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做大智能终端产业。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  <w:lang w:val="en-US" w:eastAsia="zh-CN"/>
        </w:rPr>
        <w:t>重点发展智能门锁、家电、照明、安防及物联网控制终端等产品，强化显示触控、传感器、控制及通信模块、结构件等产品与整机协同集成，打造智能家居和物联网终端产品集聚优势。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776C0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7" w:type="dxa"/>
            <w:noWrap w:val="0"/>
            <w:vAlign w:val="top"/>
          </w:tcPr>
          <w:p w14:paraId="6C27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光机电产业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能级提升工程</w:t>
            </w:r>
          </w:p>
        </w:tc>
      </w:tr>
      <w:tr w14:paraId="0D18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</w:trPr>
        <w:tc>
          <w:tcPr>
            <w:tcW w:w="8957" w:type="dxa"/>
            <w:noWrap w:val="0"/>
            <w:vAlign w:val="top"/>
          </w:tcPr>
          <w:p w14:paraId="12779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构建光机电协同创新体系。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建强先进半导体光电器件与系统集成省重点实验室；健全产业创新政策体系，推动产业研发投入强度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达到2.5%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以上，省级以上创新平台达到15家。</w:t>
            </w:r>
          </w:p>
          <w:p w14:paraId="6BC88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default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推动光机电产业集群项目建设。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聚焦视觉系统与器件、新材料与装备、智能终端三大方向，加快LED半导体显示、毫米波雷达、机器视觉检测等器件研发，推进先进钢铁、镁合金、半导体封装等新材料及智能装备配套，布局智能家居等终端产品制造与集成，提升光机电产业整体竞争力。</w:t>
            </w:r>
          </w:p>
        </w:tc>
      </w:tr>
    </w:tbl>
    <w:p w14:paraId="61A822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2"/>
          <w:sz w:val="32"/>
          <w:szCs w:val="40"/>
          <w:highlight w:val="none"/>
          <w:lang w:val="en-US" w:eastAsia="zh-CN" w:bidi="ar"/>
        </w:rPr>
      </w:pPr>
      <w:bookmarkStart w:id="66" w:name="_Toc24147"/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40"/>
          <w:highlight w:val="none"/>
          <w:lang w:eastAsia="zh-CN" w:bidi="ar"/>
        </w:rPr>
        <w:t>（</w:t>
      </w: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40"/>
          <w:highlight w:val="none"/>
          <w:lang w:val="en-US" w:eastAsia="zh-CN" w:bidi="ar"/>
        </w:rPr>
        <w:t>二</w:t>
      </w: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40"/>
          <w:highlight w:val="none"/>
          <w:lang w:eastAsia="zh-CN" w:bidi="ar"/>
        </w:rPr>
        <w:t>）</w:t>
      </w:r>
      <w:r>
        <w:rPr>
          <w:rFonts w:hint="eastAsia" w:ascii="楷体_GB2312" w:hAnsi="楷体_GB2312" w:eastAsia="楷体_GB2312" w:cs="楷体_GB2312"/>
          <w:kern w:val="2"/>
          <w:sz w:val="32"/>
          <w:szCs w:val="40"/>
          <w:highlight w:val="none"/>
          <w:lang w:val="en-US" w:eastAsia="zh-CN" w:bidi="ar"/>
        </w:rPr>
        <w:t>积极培育</w:t>
      </w: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40"/>
          <w:highlight w:val="none"/>
          <w:lang w:val="en-US" w:eastAsia="zh-CN" w:bidi="ar"/>
        </w:rPr>
        <w:t>人工智能产业</w:t>
      </w:r>
      <w:bookmarkEnd w:id="66"/>
    </w:p>
    <w:p w14:paraId="2F593356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布局具身智能产业。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煤机装备优势，攻坚掘进、采煤、运输、安控、应急救援特种机器人研发量产，打造矿山特色产品，拓展商用、家用机器人市场，构建“特种引领、多场景协同”产品矩阵，攻关人机交互、智能决策、环境自适应共性技术，支撑产品迭代。</w:t>
      </w:r>
    </w:p>
    <w:p w14:paraId="19285720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引育人工智能服务主体。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软件信息企业向智能解决方案服务商转型，引育AI赋能服务商。围绕煤炭、制造、文旅康养，引育垂类大模型企业，推进大模型产业化，为传统产业提供轻量化、低成本、场景适配的智能体产品与方案。深化词元行业融合，探索词元计量新型AI服务模式。</w:t>
      </w:r>
    </w:p>
    <w:p w14:paraId="6B5AFBF2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实施“人工智能+”行动。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sz w:val="32"/>
          <w:szCs w:val="32"/>
        </w:rPr>
        <w:t>在安全生产、智能开采、智慧文旅、智慧政务领域应用，打造标杆示范场景，以场景牵引技术攻关和生态优化，加速AI赋能千行百业。</w:t>
      </w:r>
    </w:p>
    <w:p w14:paraId="665F40F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提升人工智能基础支撑。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建设综合性AI公共服务平台，提供算法开发、模型训练、测试验证服务，降低中小企业创新门槛。统筹建设AI高质量数据集，完善数据标注、模型评测能力，构建开放共享、协同创新的AI产业生态。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9"/>
      </w:tblGrid>
      <w:tr w14:paraId="47DAE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noWrap w:val="0"/>
            <w:vAlign w:val="top"/>
          </w:tcPr>
          <w:p w14:paraId="55A34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人工智能核心产业突破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工程</w:t>
            </w:r>
          </w:p>
        </w:tc>
      </w:tr>
      <w:tr w14:paraId="19784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noWrap w:val="0"/>
            <w:vAlign w:val="top"/>
          </w:tcPr>
          <w:p w14:paraId="1437B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建设市级AI创新服务平台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支撑大模型部署与调优，为政务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、产业升级提供安全高效的算力与工具支撑。</w:t>
            </w:r>
          </w:p>
          <w:p w14:paraId="48707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default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建设“人工智能+”应用标杆。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聚焦能源、科技、转型、文化、消费、民生、治理等领域，创新打造样板应用，加快构建“技术+场景”双向赋能的发展格局。</w:t>
            </w:r>
          </w:p>
        </w:tc>
      </w:tr>
    </w:tbl>
    <w:p w14:paraId="338D80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67" w:name="_Toc6295"/>
      <w:bookmarkStart w:id="68" w:name="_Toc10844"/>
      <w:bookmarkStart w:id="69" w:name="_Toc21181"/>
      <w:bookmarkStart w:id="70" w:name="_Toc2942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）因地制宜发展数据产业</w:t>
      </w:r>
      <w:bookmarkEnd w:id="67"/>
      <w:bookmarkEnd w:id="68"/>
      <w:bookmarkEnd w:id="69"/>
      <w:bookmarkEnd w:id="70"/>
    </w:p>
    <w:p w14:paraId="2C751B0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cs="仿宋_GB231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24"/>
          <w:highlight w:val="none"/>
          <w:lang w:val="en-US" w:eastAsia="zh-CN" w:bidi="ar"/>
        </w:rPr>
        <w:t>培育壮大数据产业主体。</w:t>
      </w:r>
      <w:r>
        <w:rPr>
          <w:rFonts w:hint="eastAsia" w:ascii="仿宋_GB2312" w:hAnsi="仿宋_GB2312" w:eastAsia="仿宋_GB2312" w:cs="仿宋_GB2312"/>
          <w:kern w:val="2"/>
          <w:sz w:val="32"/>
          <w:szCs w:val="24"/>
          <w:highlight w:val="none"/>
          <w:lang w:val="en-US" w:eastAsia="zh-CN" w:bidi="ar"/>
        </w:rPr>
        <w:t>围绕算力基础设施、可信数据空间建设，引育数据基建、数据要素服务市场主体。依托能源、钢铁、制造等行业培育数据资源企业，鼓励市场化数据授权、收益共享。重点发展提供交易撮合、合规服务的数据服务企业。紧扣“智改数转”培育数据应用企业，扩大融合应用规模，发展智能服务、平台运营新业态。建设数据产业公共服务平台，提供开发创新、交易流通、创业孵化等综合服务。</w:t>
      </w:r>
    </w:p>
    <w:p w14:paraId="0B5BBAA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71" w:name="_Toc1220"/>
      <w:bookmarkStart w:id="72" w:name="_Toc32558"/>
      <w:bookmarkStart w:id="73" w:name="_Toc26768"/>
      <w:bookmarkStart w:id="74" w:name="_Toc15432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）抢抓未来产业战略先机</w:t>
      </w:r>
      <w:bookmarkEnd w:id="71"/>
      <w:bookmarkEnd w:id="72"/>
      <w:bookmarkEnd w:id="73"/>
      <w:bookmarkEnd w:id="74"/>
    </w:p>
    <w:p w14:paraId="75698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探索发展低空经济。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安全可控、场景牵引、运营可持续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原则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，引进无人机制造企业，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夯实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产业根基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无人机综合管理服务平台，优化低空飞行运行环境。聚焦应急救援、物流配送、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高空巡检、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生态治理、园区流转等领域，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深耕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低空经济应用场景，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深度赋能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本地产业转型升级。</w:t>
      </w:r>
    </w:p>
    <w:p w14:paraId="488766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bookmarkStart w:id="75" w:name="_Toc21033"/>
      <w:bookmarkStart w:id="76" w:name="_Toc30879"/>
      <w:bookmarkStart w:id="77" w:name="_Toc29130"/>
      <w:bookmarkStart w:id="78" w:name="_Toc26430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、加快产业数智升级，推动实体经济智能化发展</w:t>
      </w:r>
      <w:bookmarkEnd w:id="75"/>
      <w:bookmarkEnd w:id="76"/>
      <w:bookmarkEnd w:id="77"/>
      <w:bookmarkEnd w:id="78"/>
    </w:p>
    <w:p w14:paraId="7272142A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79" w:name="_Toc291"/>
      <w:bookmarkStart w:id="80" w:name="_Toc21877"/>
      <w:bookmarkStart w:id="81" w:name="_Toc7862"/>
      <w:bookmarkStart w:id="82" w:name="_Toc1115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（一）推进智慧能源体系建设</w:t>
      </w:r>
    </w:p>
    <w:p w14:paraId="04F5C95C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加快煤矿智能绿色转型。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融合人工智能、工业互联网、机器人技术，在勘探、采掘、安全管控拓展 “人工智能 +” 场景，迭代煤矿智能化建设，2027 年全市具备条件生产煤矿基本实现智能化，因地制宜创建国、省级绿色矿山。</w:t>
      </w:r>
    </w:p>
    <w:p w14:paraId="357316C8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推进智慧气田建设。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围绕煤层气勘探开发全生命周期，运用大数据、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搭建智能随钻系统，推广智能排采、井场监控数字化应用，形成无人值守场站、气井智能生产模式。</w:t>
      </w:r>
    </w:p>
    <w:p w14:paraId="2E84701B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加快煤电智能化改造。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深化智慧电厂建设，立足清洁降碳、安全可靠、高效调节、智能运行方向，聚焦燃料管控、生产智能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调控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、设备全生命周期管理场景，协同推进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赋能和技术攻关。</w:t>
      </w:r>
    </w:p>
    <w:p w14:paraId="098F8F9D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打造数智化坚强电网。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优化主网架，实施输变电项目，以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、数字技术赋能规划建设、设备管理、调控运行全链条；推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动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配电网柔性、智能、数字化升级，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建成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有源双向交互系统；因地制宜布局微电网，探索源网荷储智能微电网项目。</w:t>
      </w:r>
    </w:p>
    <w:p w14:paraId="0712734B">
      <w:pPr>
        <w:pStyle w:val="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（二）推进制造业数智化转型</w:t>
      </w:r>
    </w:p>
    <w:p w14:paraId="39FEA129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推动工业互联网高质量发展。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升级企业内外网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“5G+工业互联网”，建设新型工业网络。面向钢铁、煤化工、装备制造、光机电等行业，梯度培育工业互联网平台，推动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AI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与工业互联网融合，提升智能感知决策水平，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工业互联网一体化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入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园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入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企。</w:t>
      </w:r>
    </w:p>
    <w:p w14:paraId="09EA8C02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推动重点产业链智能化升级。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钢铁依托“人工智能+钢铁制造”创新联合体，建设炼铁、热轧、冷轧全流程数字孪生系统；煤化工搭建供应链数字化协同平台；装备制造、铸造、光机电提升核心装备智能运维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水平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；医药、新材料强化AI辅助研发、数据驱动创新；绿色建材、丝麻纺织服装打造生产制造、经营管理、绿色安全数字化场景。</w:t>
      </w:r>
    </w:p>
    <w:p w14:paraId="1CC66E7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highlight w:val="none"/>
        </w:rPr>
        <w:t>分类推进企业数字化转型。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加快关键工序智能化改造，打造数字车间、智能工厂标杆。支持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有条件的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企业对标认证体系、智能制造场景指引建设标杆主体与智能工厂；引导中小企业对照评测指标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工序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  <w:lang w:val="en-US" w:eastAsia="zh-CN"/>
        </w:rPr>
        <w:t>智能化改造</w:t>
      </w:r>
      <w:r>
        <w:rPr>
          <w:rFonts w:hint="eastAsia" w:ascii="仿宋_GB2312" w:hAnsi="仿宋_GB2312" w:eastAsia="仿宋_GB2312" w:cs="仿宋_GB2312"/>
          <w:kern w:val="2"/>
          <w:sz w:val="32"/>
          <w:highlight w:val="none"/>
        </w:rPr>
        <w:t>。支持重点园区、专业镇建设数字化转型公共服务平台，输出共性技术支撑与解决方案。</w:t>
      </w:r>
    </w:p>
    <w:bookmarkEnd w:id="79"/>
    <w:bookmarkEnd w:id="80"/>
    <w:bookmarkEnd w:id="81"/>
    <w:bookmarkEnd w:id="82"/>
    <w:tbl>
      <w:tblPr>
        <w:tblStyle w:val="7"/>
        <w:tblpPr w:leftFromText="180" w:rightFromText="180" w:vertAnchor="text" w:horzAnchor="page" w:tblpX="1787" w:tblpYSpec="inside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 w14:paraId="7F01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5" w:type="dxa"/>
            <w:noWrap w:val="0"/>
            <w:vAlign w:val="top"/>
          </w:tcPr>
          <w:p w14:paraId="3FE27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制造业数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智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化转型提升工程</w:t>
            </w:r>
          </w:p>
        </w:tc>
      </w:tr>
      <w:tr w14:paraId="5DE5F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5" w:type="dxa"/>
            <w:noWrap w:val="0"/>
            <w:vAlign w:val="top"/>
          </w:tcPr>
          <w:p w14:paraId="6AA16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梯度培育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智能工厂。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采用智能工厂、解决方案、标准体系“三位一体”模式，推进基础级、先进级、卓越级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领航级智能工厂建设，打造制造业“升级版”。</w:t>
            </w:r>
          </w:p>
          <w:p w14:paraId="2C985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left"/>
              <w:textAlignment w:val="auto"/>
              <w:rPr>
                <w:rFonts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建设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制造业数字化服务支撑体系。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推进高标准数字园区建设，支持园区搭建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数字化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平台，集成运行管理、能碳监测、企业服务、数据治理等功能，增强园区数字化管理服务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水平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。支持专业镇建设数字化公共服务平台，提供技术协同、产能共享、供应链管理等服务。</w:t>
            </w:r>
          </w:p>
        </w:tc>
      </w:tr>
    </w:tbl>
    <w:p w14:paraId="6B573E6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bookmarkStart w:id="83" w:name="_Toc18307"/>
      <w:bookmarkStart w:id="84" w:name="_Toc22099"/>
      <w:bookmarkStart w:id="85" w:name="_Toc4814"/>
      <w:bookmarkStart w:id="86" w:name="_Toc25790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</w:t>
      </w:r>
      <w:bookmarkEnd w:id="83"/>
      <w:bookmarkEnd w:id="84"/>
      <w:bookmarkEnd w:id="85"/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智慧农业创新发展</w:t>
      </w:r>
      <w:bookmarkEnd w:id="86"/>
    </w:p>
    <w:p w14:paraId="39A08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推进农业数字化改造。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推动国家数字乡村试点向常态化建设转化，以数字化赋能农业现代化。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聚焦大田种植、设施园艺、养殖等领域，推动物联网、AI、大数据等技术应用。深化畜禽养殖标准化与智能化，推广水质监测、智能增氧、精准饲喂等技术。运用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农业农村用地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“一张图”和卫星遥感加强高标准农田监管。完善农业气象监测站网，强化AI观测预测与全链条气象服务。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优化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农产品市场监测预警体系。</w:t>
      </w:r>
    </w:p>
    <w:p w14:paraId="7506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培育乡村振兴新业态。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加快农村电商发展，巩固“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e镇”建设，培育电商带头人。利用短视频、直播等渠道推动农产品品牌打造与宣传。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农文旅融合新模式，培育重点村镇，打造精品旅游线路，提升数字导览与服务能力。</w:t>
      </w:r>
    </w:p>
    <w:tbl>
      <w:tblPr>
        <w:tblStyle w:val="7"/>
        <w:tblpPr w:leftFromText="180" w:rightFromText="180" w:vertAnchor="text" w:horzAnchor="page" w:tblpX="1787" w:tblpYSpec="inside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8"/>
      </w:tblGrid>
      <w:tr w14:paraId="6FC6C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8" w:type="dxa"/>
            <w:noWrap w:val="0"/>
            <w:vAlign w:val="top"/>
          </w:tcPr>
          <w:p w14:paraId="2EF47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农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业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高质量发展工程</w:t>
            </w:r>
          </w:p>
        </w:tc>
      </w:tr>
      <w:tr w14:paraId="7394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8" w:type="dxa"/>
            <w:noWrap w:val="0"/>
            <w:vAlign w:val="top"/>
          </w:tcPr>
          <w:p w14:paraId="4D4A5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left"/>
              <w:textAlignment w:val="auto"/>
              <w:rPr>
                <w:rFonts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推进农业装备数字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化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升级。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实施农机购置与应用补贴政策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支持购置使用高端、智能、绿色农机和北斗辅助驾驶系统及监测终端，推广普及农机智能终端在农业数字化转型中的应用。</w:t>
            </w:r>
          </w:p>
        </w:tc>
      </w:tr>
    </w:tbl>
    <w:p w14:paraId="095E446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bookmarkStart w:id="87" w:name="_Toc10727"/>
      <w:bookmarkStart w:id="88" w:name="_Toc13200"/>
      <w:bookmarkStart w:id="89" w:name="_Toc15371"/>
      <w:bookmarkStart w:id="90" w:name="_Toc4043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（四）</w:t>
      </w:r>
      <w:bookmarkEnd w:id="87"/>
      <w:bookmarkEnd w:id="88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推进数智文旅深度融合</w:t>
      </w:r>
      <w:bookmarkEnd w:id="89"/>
    </w:p>
    <w:p w14:paraId="2897D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提升文旅康养数智化服务水平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建设智慧文旅平台，开发“晋城旅居”小程序，深化一站式旅居服务。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加快“智慧景区”建设，实现高等级景区度假区数智化全覆盖。落地智慧管理、AI导览、无感票务、智能客房等场景，示范推广外骨骼机器人、智能穿戴设备在文旅康养场领域应用。</w:t>
      </w:r>
    </w:p>
    <w:p w14:paraId="4419E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推进文物古建数字化活化。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实施古堡古建数字焕活计划，建立高精度数字档案，推动文物资源向数字资产转化。嫁接《黑神话：悟空》等顶级游戏IP，开发“奇幻文物”数字分身、“虚拟修复”互动体验，推动文物资源向动态生产要素转化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instrText xml:space="preserve"> HYPERLINK "http://zx.jcgov.gov.cn/ztzl/zxdbjjcswyhdwchy/wysy_56154/202601/t20260123_2312298.shtml" \t "https://chat.deepseek.com/a/chat/s/_blank" </w:instrTex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10576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创新沉浸式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数智文旅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业态。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打造“二十八星宿”沉浸式交互空间、“古堡”超级剧场等项目。实施旅游演艺光影赋能行动，提升《再回相府》《千年铁魂》等沉浸演艺品质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instrText xml:space="preserve"> HYPERLINK "http://xxgk.jcgov.gov.cn/szfgzbm/jcswhhlyj/fdzdgknr_31403/tadf_wlj/202507/t20250703_2163622.shtml" \t "https://chat.deepseek.com/a/chat/s/_blank" </w:instrTex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。依托山水景区、公园等空间，打造生态景观数智交互产品，推动城市地标常态化光影秀，构建虚实共生的数字光影生态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instrText xml:space="preserve"> HYPERLINK "https://xxgk.jcgov.gov.cn/szfgzbm/jcswhhlyj/fdzdgknr_31403/tadf_wlj/202507/t20250703_2163546.shtml" \t "https://chat.deepseek.com/a/chat/s/_blank" </w:instrTex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。开发智慧山水、云冥想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、道地药材三千问、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AR老矿工剧场等虚拟体验项目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</w:p>
    <w:tbl>
      <w:tblPr>
        <w:tblStyle w:val="7"/>
        <w:tblpPr w:leftFromText="180" w:rightFromText="180" w:vertAnchor="text" w:horzAnchor="page" w:tblpX="1787" w:tblpYSpec="inside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5"/>
      </w:tblGrid>
      <w:tr w14:paraId="4BD4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5" w:type="dxa"/>
            <w:noWrap w:val="0"/>
            <w:vAlign w:val="top"/>
          </w:tcPr>
          <w:p w14:paraId="1C307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数字文旅康养提升工程</w:t>
            </w:r>
          </w:p>
        </w:tc>
      </w:tr>
      <w:tr w14:paraId="23C7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5" w:type="dxa"/>
            <w:noWrap w:val="0"/>
            <w:vAlign w:val="top"/>
          </w:tcPr>
          <w:p w14:paraId="7864F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推进文物数字化保护与活化利用。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搭建全市文物资源电子档案公共素材库，推进10处以上国保单位高精度数字化全息记录与虚拟体验项目开发，打造具有晋城辨识度的文物数字化展示体系。</w:t>
            </w:r>
          </w:p>
          <w:p w14:paraId="03357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left"/>
              <w:textAlignment w:val="auto"/>
              <w:rPr>
                <w:rFonts w:hint="default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推进文旅康养数字底座建设。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统筹建设文化遗产数字基因库、养生数据库、产业人才库和安全预警平台，加快“百村百院”焕新提质，以数据贯通文化、健康、乡村、职业、保障各环节，构建“数据驱动、多维协同”的文旅康养数字生态。</w:t>
            </w:r>
          </w:p>
        </w:tc>
      </w:tr>
    </w:tbl>
    <w:p w14:paraId="2110C4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bookmarkStart w:id="91" w:name="_Toc1928"/>
      <w:bookmarkStart w:id="92" w:name="_Toc32160"/>
      <w:bookmarkStart w:id="93" w:name="_Toc21596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、创新数智生活场景，打造高品质美好生活</w:t>
      </w:r>
      <w:bookmarkEnd w:id="90"/>
      <w:bookmarkEnd w:id="91"/>
      <w:bookmarkEnd w:id="92"/>
      <w:bookmarkEnd w:id="93"/>
    </w:p>
    <w:p w14:paraId="4EF5A6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94" w:name="_Toc27987"/>
      <w:bookmarkStart w:id="95" w:name="_Toc24722"/>
      <w:bookmarkStart w:id="96" w:name="_Toc17197"/>
      <w:bookmarkStart w:id="97" w:name="_Toc13703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（一）全面激发数字消费潜能</w:t>
      </w:r>
      <w:bookmarkEnd w:id="94"/>
      <w:bookmarkEnd w:id="95"/>
      <w:bookmarkEnd w:id="96"/>
      <w:bookmarkEnd w:id="97"/>
    </w:p>
    <w:p w14:paraId="7922A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拓展数字消费新场景。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推进步行街、重点商圈数字化转型，建设“一刻钟便民生活圈”，支持商超发展即时零售；发展智慧零售，推广刷脸支付、无感停车等便民服务。</w:t>
      </w:r>
    </w:p>
    <w:p w14:paraId="77C26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培育数字消费新业态。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促进商业载体与文化数字化融合，引入数字文创、沉浸式数字娱乐；孵化消费IP，构建“场景互融、业态互促、流量共享”商文旅融合新格局。</w:t>
      </w:r>
    </w:p>
    <w:p w14:paraId="672C2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拓宽数字消费新渠道。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打造城区直播电商集群，鼓励商户开展品牌自播、产地直播；持续举办线上促消费活动，营造数字消费氛围；深化与杭州等电商先进地区对接合作，扩大晋城产品线上辐射范围。</w:t>
      </w:r>
    </w:p>
    <w:p w14:paraId="12400C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98" w:name="_Toc13262"/>
      <w:bookmarkStart w:id="99" w:name="_Toc28123"/>
      <w:bookmarkStart w:id="100" w:name="_Toc10760"/>
      <w:bookmarkStart w:id="101" w:name="_Toc22862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（二）升级智惠数字医疗服务</w:t>
      </w:r>
      <w:bookmarkEnd w:id="98"/>
      <w:bookmarkEnd w:id="99"/>
      <w:bookmarkEnd w:id="100"/>
      <w:bookmarkEnd w:id="101"/>
    </w:p>
    <w:p w14:paraId="02C1C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深入推进数据赋能“三医”协同。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推动“三医”数据联动，实现跨区域跨机构医疗数据安全共享，拓展电子处方流转、费用一站结算、诊疗数据共享场景，推广远程会诊、检查检验结果互认；探索健康管理与保险理赔数据融合，推进“三码合一”，普及电子健康卡。</w:t>
      </w:r>
    </w:p>
    <w:p w14:paraId="5B388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全面升级数智医疗服务。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推进智慧医疗建设，打造疾病预防、辅助诊疗、康复评估、健康管理全链条智能服务；深化医疗影像云平台应用，落地智能诊断、报告生成服务；试点智慧社区医养系统，赋能居家养老；建设互联网医院，推动优质医疗资源普惠共享；夯实医院信息化基础，将5G、物联网运用于院前急救、智慧病房、移动医护场景。</w:t>
      </w:r>
    </w:p>
    <w:p w14:paraId="6EE075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02" w:name="_Toc7541"/>
      <w:bookmarkStart w:id="103" w:name="_Toc21039"/>
      <w:bookmarkStart w:id="104" w:name="_Toc22689"/>
      <w:bookmarkStart w:id="105" w:name="_Toc30334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（三）构建智慧交通新体系</w:t>
      </w:r>
      <w:bookmarkEnd w:id="102"/>
      <w:bookmarkEnd w:id="103"/>
      <w:bookmarkEnd w:id="104"/>
      <w:bookmarkEnd w:id="105"/>
    </w:p>
    <w:p w14:paraId="09813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落实省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级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综合交通运输信息平台工作要求，加快构建省市联动的智慧交通格局。建设电动汽车充（换）电基础设施监测服务平台，实现对公共充（换）电基础设施全生命周期管理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“出租车管理一类事”“电动自行车一类事”等交通治理应用，树立“被动响应转主动治理”示范标杆。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1"/>
      </w:tblGrid>
      <w:tr w14:paraId="264D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1" w:type="dxa"/>
            <w:noWrap w:val="0"/>
            <w:vAlign w:val="top"/>
          </w:tcPr>
          <w:p w14:paraId="7B9D1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cs="Times New Roman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综合交通省市联动试点工程</w:t>
            </w:r>
          </w:p>
        </w:tc>
      </w:tr>
      <w:tr w14:paraId="0852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1" w:type="dxa"/>
            <w:noWrap w:val="0"/>
            <w:vAlign w:val="top"/>
          </w:tcPr>
          <w:p w14:paraId="68635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cs="Times New Roman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val="en-US" w:eastAsia="zh-CN"/>
              </w:rPr>
              <w:t>建设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综合交通运输信息平台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聚焦交通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运行监测、指挥调度、辅助决策、行业监管、视频管理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公众服务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六大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核心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内容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，整合公路、客运等多源数据，实现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交通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态势智能监测、应急指挥高效协同、行业监管精准有力、公众服务便捷普惠。</w:t>
            </w:r>
          </w:p>
        </w:tc>
      </w:tr>
    </w:tbl>
    <w:p w14:paraId="24CCDF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06" w:name="_Toc19642"/>
      <w:bookmarkStart w:id="107" w:name="_Toc7702"/>
      <w:bookmarkStart w:id="108" w:name="_Toc15410"/>
      <w:bookmarkStart w:id="109" w:name="_Toc25683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（四）塑造智慧教育新形态</w:t>
      </w:r>
      <w:bookmarkEnd w:id="106"/>
      <w:bookmarkEnd w:id="107"/>
      <w:bookmarkEnd w:id="108"/>
      <w:bookmarkEnd w:id="109"/>
    </w:p>
    <w:p w14:paraId="5FB07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夯实智慧教育新底座。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升级教育城域网与校园网络，实现“万兆到县、千兆到校、百兆到班”。加快乡村及薄弱学校数字化改造，建设乡村数字教育站。推进校园环境数字化，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布局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智能教室、虚拟实验室、创客空间，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打造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市级智慧校园示范校。</w:t>
      </w:r>
    </w:p>
    <w:p w14:paraId="68EB8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促进人工智能赋能教育。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依托智慧教育平台打造“应用超市”，丰富应用资源并开展试点。扩大精准教学、个性学习、智慧研修等资源供给，构建晋城特色精品课程体系。创新智能学伴、智能教师、AI听说课堂等AI融合教学新形态，建设人工智能教育基地。推动“专递课堂、名师课堂、名校网络课堂”常态化应用。</w:t>
      </w:r>
    </w:p>
    <w:p w14:paraId="7F33C9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bookmarkStart w:id="110" w:name="_Toc14548"/>
      <w:bookmarkStart w:id="111" w:name="_Toc1424"/>
      <w:bookmarkStart w:id="112" w:name="_Toc27951"/>
      <w:bookmarkStart w:id="113" w:name="_Toc569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、完善数智治理体系，促进治理能力现代化</w:t>
      </w:r>
      <w:bookmarkEnd w:id="110"/>
      <w:bookmarkEnd w:id="111"/>
      <w:bookmarkEnd w:id="112"/>
      <w:bookmarkEnd w:id="113"/>
    </w:p>
    <w:p w14:paraId="663192C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14" w:name="_Toc29834"/>
      <w:bookmarkStart w:id="115" w:name="_Toc13469"/>
      <w:bookmarkStart w:id="116" w:name="_Toc9914"/>
      <w:bookmarkStart w:id="117" w:name="_Toc23733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（一）推动政务办公智能场景建设</w:t>
      </w:r>
      <w:bookmarkEnd w:id="114"/>
      <w:bookmarkEnd w:id="115"/>
      <w:bookmarkEnd w:id="116"/>
      <w:bookmarkEnd w:id="117"/>
    </w:p>
    <w:p w14:paraId="287AE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构建政务办公数智中枢。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整合政策法规、行业信息等政务资源，加强数据治理与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政务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知识管理。全面深化“一表通”建设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全市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AI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创新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服务平台建设，打造政务大模型管理平台与行业知识库，部署适配晋城的政务办公大模型。</w:t>
      </w:r>
    </w:p>
    <w:p w14:paraId="525FD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创新智能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办公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场景。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有序推进智能化政务办公应用改造，推动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AI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技术、产品和服务在政务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场景落地迭代。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布局政务办公智能体，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打造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公文写作、政务知识检索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示范应用并推广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 w:bidi="ar"/>
        </w:rPr>
        <w:t>。</w:t>
      </w:r>
    </w:p>
    <w:p w14:paraId="222E14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18" w:name="_Toc24936"/>
      <w:bookmarkStart w:id="119" w:name="_Toc18529"/>
      <w:bookmarkStart w:id="120" w:name="_Toc29991"/>
      <w:bookmarkStart w:id="121" w:name="_Toc25211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（二）促进数字政务服务提质增效</w:t>
      </w:r>
      <w:bookmarkEnd w:id="118"/>
      <w:bookmarkEnd w:id="119"/>
      <w:bookmarkEnd w:id="120"/>
      <w:bookmarkEnd w:id="121"/>
    </w:p>
    <w:p w14:paraId="25D2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深化政务服务“一网通办”，拓展业务范围。打通“高效办成一件事”高频事项政务数据壁垒，推动更多“一件事”落地。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升级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“晋来办”，打造线上线下融合服务。推进“人工智能+政务服务”，构建智能问答、辅助申报、智能审批等应用，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创新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政务服务模式。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7"/>
      </w:tblGrid>
      <w:tr w14:paraId="164D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947" w:type="dxa"/>
            <w:noWrap w:val="0"/>
            <w:vAlign w:val="top"/>
          </w:tcPr>
          <w:p w14:paraId="247AF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数字政务提质工程</w:t>
            </w:r>
          </w:p>
        </w:tc>
      </w:tr>
      <w:tr w14:paraId="740D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7" w:type="dxa"/>
            <w:noWrap w:val="0"/>
            <w:vAlign w:val="top"/>
          </w:tcPr>
          <w:p w14:paraId="75536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推动“晋来办”提档升级。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整合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晋城新闻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晋来办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客户端，汇聚政务民生事项与本地生活服务，打造城市便民服务总入口。</w:t>
            </w:r>
          </w:p>
          <w:p w14:paraId="04BA8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推进城市个人信用场景建设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。依托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公共信用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信息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与行为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信用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数据，完善“凤城分”积分体系，拓展“信易保”“信易贷”“信易停”“信易医”等信用便民场景。</w:t>
            </w:r>
          </w:p>
        </w:tc>
      </w:tr>
    </w:tbl>
    <w:p w14:paraId="56797C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22" w:name="_Toc3895"/>
      <w:bookmarkStart w:id="123" w:name="_Toc15619"/>
      <w:bookmarkStart w:id="124" w:name="_Toc10233"/>
      <w:bookmarkStart w:id="125" w:name="_Toc4055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（三）构建城市智慧高效治理体系</w:t>
      </w:r>
      <w:bookmarkEnd w:id="122"/>
      <w:bookmarkEnd w:id="123"/>
      <w:bookmarkEnd w:id="124"/>
      <w:bookmarkEnd w:id="125"/>
    </w:p>
    <w:p w14:paraId="1377C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促进城市运行管理精细化。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构建城市智能监测感知网络，提升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安全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预警与应急处置能力。依托智慧晋城调度指挥中心，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推进城市治理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“一网统管”，实现态势感知、智能研判、协同处置与平急切换。以“一类事”牵引社会治理改革，构建源头预防、系统治理新格局。</w:t>
      </w:r>
    </w:p>
    <w:p w14:paraId="583AF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推动安全治理智能高效。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推进智慧公安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建设，完善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视频感知前端布局。搭建一体化应急指挥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视频汇聚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及防灭火、防汛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抗旱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等系统，打通公安、气象、水利、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自然资源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等部门数据壁垒，实现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实时共享。加强AI在安全监管、防灾减灾、公共安全预警应用，探索自然人、数字人、机器人协同治理体系，提升监测预警、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指挥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执法、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救援能力。</w:t>
      </w:r>
    </w:p>
    <w:p w14:paraId="59E17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助力生态治理长效利民。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优化生态环境监测体系，强化空气质量、噪声等精准监测。深化生态环境智慧治理，推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AI监测监管应用，研发生态环境行业大模型，构建算法模型体系，提升AI驱动的监测预测、模拟推演与问题处置能力，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 w:bidi="ar"/>
        </w:rPr>
        <w:t>形成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智能协同精准治理模式。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1"/>
      </w:tblGrid>
      <w:tr w14:paraId="50EAB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1" w:type="dxa"/>
            <w:noWrap w:val="0"/>
            <w:vAlign w:val="top"/>
          </w:tcPr>
          <w:p w14:paraId="568A3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专栏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 xml:space="preserve">  城市治理增效工程</w:t>
            </w:r>
          </w:p>
        </w:tc>
      </w:tr>
      <w:tr w14:paraId="12F0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1" w:type="dxa"/>
            <w:noWrap w:val="0"/>
            <w:vAlign w:val="top"/>
          </w:tcPr>
          <w:p w14:paraId="71D6C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深化“一类事”智能治理。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融通12345热线、政务、基层治理等数据，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依托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AI优化分析模型，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拓展治理场景，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构建一体化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“一类事”治理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应用体系，完善“未诉先办”机制。</w:t>
            </w:r>
          </w:p>
          <w:p w14:paraId="2941E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</w:rPr>
              <w:t>安全生产与应急保障智能化工程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运用视频AI识别与多系统数据交叉比对技术，深度赋能安全监管，优先在煤矿试点，重点整治私设出入井通道、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定位卡入井、“三违”作业、隐蔽工作面等违规行为，推动监管从“人工排查”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转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向“智能预判、事前干预”。</w:t>
            </w:r>
          </w:p>
        </w:tc>
      </w:tr>
    </w:tbl>
    <w:p w14:paraId="1197C3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bookmarkStart w:id="126" w:name="_Toc6516"/>
      <w:bookmarkStart w:id="127" w:name="_Toc28612"/>
      <w:bookmarkStart w:id="128" w:name="_Toc25321"/>
      <w:bookmarkStart w:id="129" w:name="_Toc11895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八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、优化良好发展环境，构筑数字发展新生态</w:t>
      </w:r>
      <w:bookmarkEnd w:id="126"/>
      <w:bookmarkEnd w:id="127"/>
      <w:bookmarkEnd w:id="128"/>
      <w:bookmarkEnd w:id="129"/>
    </w:p>
    <w:p w14:paraId="6C2EB5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bookmarkStart w:id="130" w:name="_Toc31373"/>
      <w:bookmarkStart w:id="131" w:name="_Toc30275"/>
      <w:bookmarkStart w:id="132" w:name="_Toc28384"/>
      <w:bookmarkStart w:id="133" w:name="_Toc14020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构建“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双核引领、多点支撑、协同发展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”</w:t>
      </w:r>
      <w:bookmarkEnd w:id="130"/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新空间</w:t>
      </w:r>
      <w:bookmarkEnd w:id="131"/>
      <w:bookmarkEnd w:id="132"/>
      <w:bookmarkEnd w:id="133"/>
    </w:p>
    <w:p w14:paraId="04DF9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双核引领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中心城区以服务赋能和创新驱动为重点，发展软件信息服务、人工智能、数据要素运营及平台经济，建设数字总部基地和人才集聚区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经济技术开发区聚焦智能制造与硬科技，主攻工业互联网、智能终端、激光芯片等领域，打造光机电与智能制造产业高地。</w:t>
      </w:r>
    </w:p>
    <w:p w14:paraId="0844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多点支撑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各市县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因地制宜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推进特色产业数字化转型与协同发展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泽州重点推进智能铸造、智慧文旅及钢铁数字化升级；高平着力构建数字能源化工与智慧农业；阳城加快陶瓷、文旅产业数字化发展；陵川聚力数字文旅康养与中药材全链条智能管控；沁水深耕智慧煤层气与数字矿山建设。</w:t>
      </w:r>
    </w:p>
    <w:p w14:paraId="2E07A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“协同发展”：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强化深度协作与联动机制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，统筹推进数字基础设施共建共享、数据资源互通互用，促进创新资源与特色场景有效对接，强化跨区域协作。</w:t>
      </w:r>
    </w:p>
    <w:p w14:paraId="785949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34" w:name="_Toc6872"/>
      <w:bookmarkStart w:id="135" w:name="_Toc29397"/>
      <w:bookmarkStart w:id="136" w:name="_Toc6802"/>
      <w:bookmarkStart w:id="137" w:name="_Toc27590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（二）构建高效协同的数字科技创新体系</w:t>
      </w:r>
      <w:bookmarkEnd w:id="134"/>
      <w:bookmarkEnd w:id="135"/>
      <w:bookmarkEnd w:id="136"/>
      <w:bookmarkEnd w:id="137"/>
    </w:p>
    <w:p w14:paraId="2082F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打造高能级产业技术创新平台体系。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围绕光机电、新材料、智能制造等领域，推动建设强链补链型产业技术研究院。统筹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重点实验室、工程研究中心等平台，完善中试孵化、检验检测等公共服务平台。支持企业联合上下游与高校院所组建创新联合体，开展关键共性技术研发与产品创新。</w:t>
      </w:r>
      <w:bookmarkStart w:id="147" w:name="_GoBack"/>
      <w:bookmarkEnd w:id="147"/>
    </w:p>
    <w:p w14:paraId="15CA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强化数据科技创新与成果转化。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制定数据领域核心技术攻关清单，支持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企业、科研机构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联合申报与协同攻关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参与国家和省级重点攻关项目。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中试基地、概念验证中心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，加速科技成果转化落地。</w:t>
      </w:r>
      <w:bookmarkStart w:id="138" w:name="_Toc9794"/>
    </w:p>
    <w:p w14:paraId="51C22ED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bookmarkStart w:id="139" w:name="_Toc32450"/>
      <w:bookmarkStart w:id="140" w:name="_Toc22250"/>
      <w:bookmarkStart w:id="141" w:name="_Toc15542"/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（三）营造互利共赢的数字生态发展环境</w:t>
      </w:r>
      <w:bookmarkEnd w:id="138"/>
      <w:bookmarkEnd w:id="139"/>
      <w:bookmarkEnd w:id="140"/>
      <w:bookmarkEnd w:id="141"/>
    </w:p>
    <w:p w14:paraId="4DD99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bookmarkStart w:id="142" w:name="_Hlk218870526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营造良好产业创新生态。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举办创新大赛、成果展示、高峰论坛，深化政产学研用交流合作与供需对接；鼓励企业参与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数据要素×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大赛，激发创新活力。支持企业参与省级制度、标准制定，强化知识产权保护，营造开放包容创新环境。</w:t>
      </w:r>
    </w:p>
    <w:p w14:paraId="230D6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优化数字经济发展环境。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健全数字创新成果管理机制，推动优质成果全市推广。梳理数字经济创新实践，遴选标杆案例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并加大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宣传；开展政策解读、项目推介，提升全社会数字化认知与应用水平。</w:t>
      </w:r>
    </w:p>
    <w:bookmarkEnd w:id="142"/>
    <w:p w14:paraId="1912EF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bookmarkStart w:id="143" w:name="_Toc6408"/>
      <w:bookmarkStart w:id="144" w:name="_Toc17564"/>
      <w:bookmarkStart w:id="145" w:name="_Toc11504"/>
      <w:bookmarkStart w:id="146" w:name="_Toc5635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九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、强化要素保障，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提升支撑能力</w:t>
      </w:r>
      <w:bookmarkEnd w:id="143"/>
      <w:bookmarkEnd w:id="144"/>
      <w:bookmarkEnd w:id="145"/>
      <w:bookmarkEnd w:id="146"/>
    </w:p>
    <w:p w14:paraId="0686DE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4"/>
          <w:highlight w:val="none"/>
          <w:lang w:val="en-US" w:eastAsia="zh-CN" w:bidi="ar"/>
        </w:rPr>
        <w:t>强化市级统筹，深化跨区域、跨领域、跨部门协同联动，建立规划实施及动态调整机制，推动任务落地。优化数字经济政策体系，聚焦产业招商、项目建设、技术创新强化配套，完善惠企政策精准直达机制。拓宽投融资渠道，用好贷款贴息、风险补偿等工具，常态化开展政银企对接。紧扣数字经济人才需求，深化产教融合、柔性引才，构建“引育用留服”全链条人才生态。强化数据全生命周期安全管控，健全人工智能风险防控机制，保障关键信息基础设施安全，筑牢数字安全防线。</w:t>
      </w:r>
    </w:p>
    <w:p w14:paraId="74F9A42E"/>
    <w:sectPr>
      <w:pgSz w:w="11906" w:h="16838"/>
      <w:pgMar w:top="2098" w:right="1474" w:bottom="1814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690114-4D41-44AF-B7F9-668ACD3C40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9A0833D-BA83-4F66-816C-0DE326E5E4E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61CDD20-4359-4201-8F45-55EC5A11F4C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101B452-96D5-4334-9B71-B442FD5AC2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5BCD582-CECE-4841-AF73-3D503A5097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47973"/>
    <w:rsid w:val="3CD4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1"/>
    <w:qFormat/>
    <w:uiPriority w:val="0"/>
    <w:pPr>
      <w:spacing w:line="560" w:lineRule="exact"/>
    </w:pPr>
    <w:rPr>
      <w:rFonts w:ascii="宋体" w:hAnsi="Courier New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2026-09-23T08:25:00Z</dcterms:created>
  <dc:creator>凌寒</dc:creator>
  <cp:lastModifiedBy>凌寒</cp:lastModifiedBy>
  <dcterms:modified xsi:type="dcterms:W3CDTF">2026-09-23T08:28:59Z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4690AAB4B0B3492BAB2248182D94247A_11</vt:lpwstr>
  </property>
  <property fmtid="{D5CDD505-2E9C-101B-9397-08002B2CF9AE}" pid="4" name="KSOTemplateDocerSaveRecord">
    <vt:lpwstr>eyJoZGlkIjoiYTBjN2YwOTU5MTVhMTM4ZjgxNjdiYTFjMDUzZTlmMmMiLCJ1c2VySWQiOiIyNzQ0MzkyMTcifQ==</vt:lpwstr>
  </property>
</Properties>
</file>