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 xml:space="preserve">晋城市工业和信息化局（国资委） </w:t>
      </w:r>
    </w:p>
    <w:p>
      <w:pPr>
        <w:keepNext w:val="0"/>
        <w:keepLines w:val="0"/>
        <w:pageBreakBefore w:val="0"/>
        <w:widowControl w:val="0"/>
        <w:kinsoku/>
        <w:wordWrap/>
        <w:overflowPunct/>
        <w:topLinePunct w:val="0"/>
        <w:autoSpaceDE/>
        <w:autoSpaceDN/>
        <w:bidi w:val="0"/>
        <w:adjustRightInd/>
        <w:snapToGrid/>
        <w:spacing w:line="580" w:lineRule="exact"/>
        <w:ind w:left="0" w:lef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2021年政府信息公开工作年度报告</w:t>
      </w:r>
    </w:p>
    <w:p>
      <w:pPr>
        <w:keepNext w:val="0"/>
        <w:keepLines w:val="0"/>
        <w:pageBreakBefore w:val="0"/>
        <w:widowControl w:val="0"/>
        <w:kinsoku/>
        <w:wordWrap/>
        <w:overflowPunct/>
        <w:topLinePunct w:val="0"/>
        <w:autoSpaceDE/>
        <w:autoSpaceDN/>
        <w:bidi w:val="0"/>
        <w:adjustRightInd/>
        <w:snapToGrid/>
        <w:spacing w:line="580" w:lineRule="exact"/>
        <w:ind w:left="0" w:leftChars="0"/>
        <w:jc w:val="center"/>
        <w:textAlignment w:val="auto"/>
        <w:rPr>
          <w:rFonts w:hint="eastAsia" w:ascii="仿宋_GB2312" w:hAnsi="黑体" w:eastAsia="仿宋_GB2312" w:cs="黑体"/>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仿宋_GB2312" w:hAnsi="仿宋_GB2312" w:eastAsia="仿宋_GB2312" w:cs="仿宋_GB2312"/>
          <w:i w:val="0"/>
          <w:iCs w:val="0"/>
          <w:caps w:val="0"/>
          <w:color w:val="333333"/>
          <w:spacing w:val="0"/>
          <w:sz w:val="24"/>
          <w:szCs w:val="24"/>
        </w:rPr>
      </w:pPr>
      <w:r>
        <w:rPr>
          <w:rFonts w:hint="eastAsia" w:ascii="仿宋_GB2312" w:hAnsi="仿宋_GB2312" w:eastAsia="仿宋_GB2312" w:cs="仿宋_GB2312"/>
          <w:i w:val="0"/>
          <w:iCs w:val="0"/>
          <w:caps w:val="0"/>
          <w:color w:val="333333"/>
          <w:spacing w:val="0"/>
          <w:sz w:val="24"/>
          <w:szCs w:val="24"/>
          <w:bdr w:val="none" w:color="auto" w:sz="0" w:space="0"/>
          <w:shd w:val="clear" w:fill="FFFFFF"/>
        </w:rPr>
        <w:t>一、总体情况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仿宋_GB2312" w:hAnsi="仿宋_GB2312" w:eastAsia="仿宋_GB2312" w:cs="仿宋_GB2312"/>
          <w:i w:val="0"/>
          <w:iCs w:val="0"/>
          <w:caps w:val="0"/>
          <w:color w:val="333333"/>
          <w:spacing w:val="0"/>
          <w:sz w:val="24"/>
          <w:szCs w:val="24"/>
        </w:rPr>
      </w:pPr>
      <w:r>
        <w:rPr>
          <w:rFonts w:hint="eastAsia" w:ascii="仿宋_GB2312" w:hAnsi="仿宋_GB2312" w:eastAsia="仿宋_GB2312" w:cs="仿宋_GB2312"/>
          <w:i w:val="0"/>
          <w:iCs w:val="0"/>
          <w:caps w:val="0"/>
          <w:color w:val="333333"/>
          <w:spacing w:val="0"/>
          <w:sz w:val="24"/>
          <w:szCs w:val="24"/>
          <w:bdr w:val="none" w:color="auto" w:sz="0" w:space="0"/>
          <w:shd w:val="clear" w:fill="FFFFFF"/>
        </w:rPr>
        <w:t>2021年，根据《政府信息公开条例》要求和国家、省及市的相关文件精神，市工信局（国资委）</w:t>
      </w:r>
      <w:r>
        <w:rPr>
          <w:rFonts w:hint="eastAsia" w:ascii="仿宋_GB2312" w:hAnsi="仿宋_GB2312" w:eastAsia="仿宋_GB2312" w:cs="仿宋_GB2312"/>
          <w:i w:val="0"/>
          <w:iCs w:val="0"/>
          <w:caps w:val="0"/>
          <w:color w:val="070707"/>
          <w:spacing w:val="0"/>
          <w:sz w:val="24"/>
          <w:szCs w:val="24"/>
          <w:bdr w:val="none" w:color="auto" w:sz="0" w:space="0"/>
          <w:shd w:val="clear" w:fill="FFFFFF"/>
        </w:rPr>
        <w:t>充分运用多种媒介及形式，强化政策解读，积极回应公众关切，不断丰富发布信息的内容，注重信息时效，充分满足公众知情权、参与权和监督权。本年度报告中所列数据的统计期限自2021年1月1日起至2021年12月31日止。本年度报告的电子版可在晋城市工业和信息化局网站（http://xxgk.jcgov.gov.cn/szfgzbm/jcsgyhxxhj/zfxxgknb_31172/）下载。如对本年度报告有任何疑问，请与晋城市工业和信息化局办公室联系（地址：晋城市政务服务中心东四楼449室，电话0356-2218747，电子邮箱:jcjxwbgs@163.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仿宋_GB2312" w:hAnsi="仿宋_GB2312" w:eastAsia="仿宋_GB2312" w:cs="仿宋_GB2312"/>
          <w:i w:val="0"/>
          <w:iCs w:val="0"/>
          <w:caps w:val="0"/>
          <w:color w:val="333333"/>
          <w:spacing w:val="0"/>
          <w:sz w:val="24"/>
          <w:szCs w:val="24"/>
        </w:rPr>
      </w:pPr>
      <w:r>
        <w:rPr>
          <w:rStyle w:val="6"/>
          <w:rFonts w:hint="eastAsia" w:ascii="仿宋_GB2312" w:hAnsi="仿宋_GB2312" w:eastAsia="仿宋_GB2312" w:cs="仿宋_GB2312"/>
          <w:i w:val="0"/>
          <w:iCs w:val="0"/>
          <w:caps w:val="0"/>
          <w:color w:val="333333"/>
          <w:spacing w:val="0"/>
          <w:sz w:val="24"/>
          <w:szCs w:val="24"/>
          <w:bdr w:val="none" w:color="auto" w:sz="0" w:space="0"/>
          <w:shd w:val="clear" w:fill="FFFFFF"/>
        </w:rPr>
        <w:t>（一）主动公开方面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仿宋_GB2312" w:hAnsi="仿宋_GB2312" w:eastAsia="仿宋_GB2312" w:cs="仿宋_GB2312"/>
          <w:i w:val="0"/>
          <w:iCs w:val="0"/>
          <w:caps w:val="0"/>
          <w:color w:val="333333"/>
          <w:spacing w:val="0"/>
          <w:sz w:val="24"/>
          <w:szCs w:val="24"/>
        </w:rPr>
      </w:pPr>
      <w:r>
        <w:rPr>
          <w:rFonts w:hint="eastAsia" w:ascii="仿宋_GB2312" w:hAnsi="仿宋_GB2312" w:eastAsia="仿宋_GB2312" w:cs="仿宋_GB2312"/>
          <w:i w:val="0"/>
          <w:iCs w:val="0"/>
          <w:caps w:val="0"/>
          <w:color w:val="333333"/>
          <w:spacing w:val="0"/>
          <w:sz w:val="24"/>
          <w:szCs w:val="24"/>
          <w:bdr w:val="none" w:color="auto" w:sz="0" w:space="0"/>
          <w:shd w:val="clear" w:fill="FFFFFF"/>
        </w:rPr>
        <w:t>我局加强政策落实，深化公开信息内容。结合工作实际，继续深化主动公开信息内容，重点做好决策公开、管理公开、服务公开、执行公开、结果公开以及栏目专题公开等信息的内容保障。持续推进政策落实情况，强化权力监督，深入推进决策和执行公开，提高政策制定和实施的公开透明度，以公开促进依法行政和政策落地见效，增强落实执行力，实事求是公布进展和完成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仿宋_GB2312" w:hAnsi="仿宋_GB2312" w:eastAsia="仿宋_GB2312" w:cs="仿宋_GB2312"/>
          <w:i w:val="0"/>
          <w:iCs w:val="0"/>
          <w:caps w:val="0"/>
          <w:color w:val="333333"/>
          <w:spacing w:val="0"/>
          <w:sz w:val="24"/>
          <w:szCs w:val="24"/>
        </w:rPr>
      </w:pPr>
      <w:r>
        <w:rPr>
          <w:rStyle w:val="6"/>
          <w:rFonts w:hint="eastAsia" w:ascii="仿宋_GB2312" w:hAnsi="仿宋_GB2312" w:eastAsia="仿宋_GB2312" w:cs="仿宋_GB2312"/>
          <w:i w:val="0"/>
          <w:iCs w:val="0"/>
          <w:caps w:val="0"/>
          <w:color w:val="333333"/>
          <w:spacing w:val="0"/>
          <w:sz w:val="24"/>
          <w:szCs w:val="24"/>
          <w:bdr w:val="none" w:color="auto" w:sz="0" w:space="0"/>
          <w:shd w:val="clear" w:fill="FFFFFF"/>
        </w:rPr>
        <w:t>（二）依申请公开方面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仿宋_GB2312" w:hAnsi="仿宋_GB2312" w:eastAsia="仿宋_GB2312" w:cs="仿宋_GB2312"/>
          <w:i w:val="0"/>
          <w:iCs w:val="0"/>
          <w:caps w:val="0"/>
          <w:color w:val="333333"/>
          <w:spacing w:val="0"/>
          <w:sz w:val="24"/>
          <w:szCs w:val="24"/>
        </w:rPr>
      </w:pPr>
      <w:r>
        <w:rPr>
          <w:rFonts w:hint="eastAsia" w:ascii="仿宋_GB2312" w:hAnsi="仿宋_GB2312" w:eastAsia="仿宋_GB2312" w:cs="仿宋_GB2312"/>
          <w:i w:val="0"/>
          <w:iCs w:val="0"/>
          <w:caps w:val="0"/>
          <w:color w:val="333333"/>
          <w:spacing w:val="0"/>
          <w:sz w:val="24"/>
          <w:szCs w:val="24"/>
          <w:bdr w:val="none" w:color="auto" w:sz="0" w:space="0"/>
          <w:shd w:val="clear" w:fill="FFFFFF"/>
        </w:rPr>
        <w:t>2021年1月1日至2021年12月31日，我局共收到政府信息公开申请1件，并已依法答复完毕，申请人为自然人申请。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仿宋_GB2312" w:hAnsi="仿宋_GB2312" w:eastAsia="仿宋_GB2312" w:cs="仿宋_GB2312"/>
          <w:i w:val="0"/>
          <w:iCs w:val="0"/>
          <w:caps w:val="0"/>
          <w:color w:val="333333"/>
          <w:spacing w:val="0"/>
          <w:sz w:val="24"/>
          <w:szCs w:val="24"/>
        </w:rPr>
      </w:pPr>
      <w:r>
        <w:rPr>
          <w:rStyle w:val="6"/>
          <w:rFonts w:hint="eastAsia" w:ascii="仿宋_GB2312" w:hAnsi="仿宋_GB2312" w:eastAsia="仿宋_GB2312" w:cs="仿宋_GB2312"/>
          <w:i w:val="0"/>
          <w:iCs w:val="0"/>
          <w:caps w:val="0"/>
          <w:color w:val="333333"/>
          <w:spacing w:val="0"/>
          <w:sz w:val="24"/>
          <w:szCs w:val="24"/>
          <w:bdr w:val="none" w:color="auto" w:sz="0" w:space="0"/>
          <w:shd w:val="clear" w:fill="FFFFFF"/>
        </w:rPr>
        <w:t>（三）政府信息管理方面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仿宋_GB2312" w:hAnsi="仿宋_GB2312" w:eastAsia="仿宋_GB2312" w:cs="仿宋_GB2312"/>
          <w:i w:val="0"/>
          <w:iCs w:val="0"/>
          <w:caps w:val="0"/>
          <w:color w:val="333333"/>
          <w:spacing w:val="0"/>
          <w:sz w:val="24"/>
          <w:szCs w:val="24"/>
        </w:rPr>
      </w:pPr>
      <w:r>
        <w:rPr>
          <w:rFonts w:hint="eastAsia" w:ascii="仿宋_GB2312" w:hAnsi="仿宋_GB2312" w:eastAsia="仿宋_GB2312" w:cs="仿宋_GB2312"/>
          <w:i w:val="0"/>
          <w:iCs w:val="0"/>
          <w:caps w:val="0"/>
          <w:color w:val="333333"/>
          <w:spacing w:val="0"/>
          <w:sz w:val="24"/>
          <w:szCs w:val="24"/>
          <w:bdr w:val="none" w:color="auto" w:sz="0" w:space="0"/>
          <w:shd w:val="clear" w:fill="FFFFFF"/>
        </w:rPr>
        <w:t>我局成立了政府信息公开工作领导小组，对政府信息公开工作落实了专人负责，并进一步完善了相关制度，确保我局政务信息公开工作发布及时。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仿宋_GB2312" w:hAnsi="仿宋_GB2312" w:eastAsia="仿宋_GB2312" w:cs="仿宋_GB2312"/>
          <w:i w:val="0"/>
          <w:iCs w:val="0"/>
          <w:caps w:val="0"/>
          <w:color w:val="333333"/>
          <w:spacing w:val="0"/>
          <w:sz w:val="24"/>
          <w:szCs w:val="24"/>
        </w:rPr>
      </w:pPr>
      <w:r>
        <w:rPr>
          <w:rStyle w:val="6"/>
          <w:rFonts w:hint="eastAsia" w:ascii="仿宋_GB2312" w:hAnsi="仿宋_GB2312" w:eastAsia="仿宋_GB2312" w:cs="仿宋_GB2312"/>
          <w:i w:val="0"/>
          <w:iCs w:val="0"/>
          <w:caps w:val="0"/>
          <w:color w:val="333333"/>
          <w:spacing w:val="0"/>
          <w:sz w:val="24"/>
          <w:szCs w:val="24"/>
          <w:bdr w:val="none" w:color="auto" w:sz="0" w:space="0"/>
          <w:shd w:val="clear" w:fill="FFFFFF"/>
        </w:rPr>
        <w:t>（四）监督保障方面方面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仿宋_GB2312" w:hAnsi="仿宋_GB2312" w:eastAsia="仿宋_GB2312" w:cs="仿宋_GB2312"/>
          <w:i w:val="0"/>
          <w:iCs w:val="0"/>
          <w:caps w:val="0"/>
          <w:color w:val="333333"/>
          <w:spacing w:val="0"/>
          <w:sz w:val="24"/>
          <w:szCs w:val="24"/>
        </w:rPr>
      </w:pPr>
      <w:r>
        <w:rPr>
          <w:rFonts w:hint="eastAsia" w:ascii="仿宋_GB2312" w:hAnsi="仿宋_GB2312" w:eastAsia="仿宋_GB2312" w:cs="仿宋_GB2312"/>
          <w:i w:val="0"/>
          <w:iCs w:val="0"/>
          <w:caps w:val="0"/>
          <w:color w:val="333333"/>
          <w:spacing w:val="0"/>
          <w:sz w:val="24"/>
          <w:szCs w:val="24"/>
          <w:bdr w:val="none" w:color="auto" w:sz="0" w:space="0"/>
          <w:shd w:val="clear" w:fill="FFFFFF"/>
        </w:rPr>
        <w:t>我局制定了《晋城市工业和信息化局关于推进政务公开工作的实施方案》，成立了政务公开工作领导小组，健全了政府信息公开工作制度。并积极配合市政府办和市大数据局对我局政府信息公开实施情况的监督检查，做好我局政府信息公开工</w:t>
      </w:r>
      <w:r>
        <w:rPr>
          <w:rFonts w:hint="eastAsia" w:ascii="仿宋_GB2312" w:hAnsi="仿宋_GB2312" w:eastAsia="仿宋_GB2312" w:cs="仿宋_GB2312"/>
          <w:i w:val="0"/>
          <w:iCs w:val="0"/>
          <w:caps w:val="0"/>
          <w:color w:val="333333"/>
          <w:spacing w:val="0"/>
          <w:sz w:val="31"/>
          <w:szCs w:val="31"/>
          <w:bdr w:val="none" w:color="auto" w:sz="0" w:space="0"/>
          <w:shd w:val="clear" w:fill="FFFFFF"/>
        </w:rPr>
        <w:t> </w:t>
      </w:r>
      <w:r>
        <w:rPr>
          <w:rFonts w:hint="eastAsia" w:ascii="仿宋_GB2312" w:hAnsi="仿宋_GB2312" w:eastAsia="仿宋_GB2312" w:cs="仿宋_GB2312"/>
          <w:i w:val="0"/>
          <w:iCs w:val="0"/>
          <w:caps w:val="0"/>
          <w:color w:val="333333"/>
          <w:spacing w:val="0"/>
          <w:sz w:val="24"/>
          <w:szCs w:val="24"/>
          <w:bdr w:val="none" w:color="auto" w:sz="0" w:space="0"/>
          <w:shd w:val="clear" w:fill="FFFFFF"/>
        </w:rPr>
        <w:t>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仿宋_GB2312" w:hAnsi="仿宋_GB2312" w:eastAsia="仿宋_GB2312" w:cs="仿宋_GB2312"/>
          <w:i w:val="0"/>
          <w:iCs w:val="0"/>
          <w:caps w:val="0"/>
          <w:color w:val="333333"/>
          <w:spacing w:val="0"/>
          <w:sz w:val="24"/>
          <w:szCs w:val="24"/>
        </w:rPr>
      </w:pPr>
      <w:r>
        <w:rPr>
          <w:rFonts w:hint="eastAsia" w:ascii="仿宋_GB2312" w:hAnsi="仿宋_GB2312" w:eastAsia="仿宋_GB2312" w:cs="仿宋_GB2312"/>
          <w:i w:val="0"/>
          <w:iCs w:val="0"/>
          <w:caps w:val="0"/>
          <w:color w:val="333333"/>
          <w:spacing w:val="0"/>
          <w:sz w:val="24"/>
          <w:szCs w:val="24"/>
          <w:bdr w:val="none" w:color="auto" w:sz="0" w:space="0"/>
          <w:shd w:val="clear" w:fill="FFFFFF"/>
        </w:rPr>
        <w:t>二、主动公开政府信息情况</w:t>
      </w: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344"/>
        <w:gridCol w:w="2344"/>
        <w:gridCol w:w="1811"/>
        <w:gridCol w:w="1927"/>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45" w:hRule="atLeast"/>
          <w:jc w:val="center"/>
        </w:trPr>
        <w:tc>
          <w:tcPr>
            <w:tcW w:w="8730" w:type="dxa"/>
            <w:gridSpan w:val="4"/>
            <w:tcBorders>
              <w:top w:val="single" w:color="auto" w:sz="6" w:space="0"/>
              <w:left w:val="single" w:color="auto" w:sz="6" w:space="0"/>
              <w:bottom w:val="single" w:color="auto" w:sz="6" w:space="0"/>
              <w:right w:val="single" w:color="auto" w:sz="6" w:space="0"/>
            </w:tcBorders>
            <w:shd w:val="clear" w:color="auto" w:fill="C6D9F1"/>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1"/>
                <w:szCs w:val="21"/>
                <w:bdr w:val="none" w:color="auto" w:sz="0" w:space="0"/>
              </w:rPr>
              <w:t>第二十条第（一）项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1"/>
                <w:szCs w:val="21"/>
                <w:bdr w:val="none" w:color="auto" w:sz="0" w:space="0"/>
              </w:rPr>
              <w:t>信息内容</w:t>
            </w:r>
          </w:p>
        </w:tc>
        <w:tc>
          <w:tcPr>
            <w:tcW w:w="2430" w:type="dxa"/>
            <w:tcBorders>
              <w:top w:val="single" w:color="auto" w:sz="6" w:space="0"/>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1"/>
                <w:szCs w:val="21"/>
                <w:bdr w:val="none" w:color="auto" w:sz="0" w:space="0"/>
              </w:rPr>
              <w:t>本年制发件数</w:t>
            </w:r>
          </w:p>
        </w:tc>
        <w:tc>
          <w:tcPr>
            <w:tcW w:w="1875" w:type="dxa"/>
            <w:tcBorders>
              <w:top w:val="single" w:color="auto" w:sz="6" w:space="0"/>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1"/>
                <w:szCs w:val="21"/>
                <w:bdr w:val="none" w:color="auto" w:sz="0" w:space="0"/>
              </w:rPr>
              <w:t>本年废止件数</w:t>
            </w:r>
          </w:p>
        </w:tc>
        <w:tc>
          <w:tcPr>
            <w:tcW w:w="1980" w:type="dxa"/>
            <w:tcBorders>
              <w:top w:val="single" w:color="auto" w:sz="6" w:space="0"/>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1"/>
                <w:szCs w:val="21"/>
                <w:bdr w:val="none" w:color="auto" w:sz="0" w:space="0"/>
              </w:rPr>
              <w:t>现行有效件数</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1"/>
                <w:szCs w:val="21"/>
                <w:bdr w:val="none" w:color="auto" w:sz="0" w:space="0"/>
              </w:rPr>
              <w:t>规章</w:t>
            </w:r>
          </w:p>
        </w:tc>
        <w:tc>
          <w:tcPr>
            <w:tcW w:w="2430"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　　0</w:t>
            </w:r>
          </w:p>
        </w:tc>
        <w:tc>
          <w:tcPr>
            <w:tcW w:w="1875"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 </w:t>
            </w:r>
            <w:r>
              <w:rPr>
                <w:rFonts w:hint="eastAsia" w:ascii="仿宋_GB2312" w:hAnsi="仿宋_GB2312" w:eastAsia="仿宋_GB2312" w:cs="仿宋_GB2312"/>
                <w:sz w:val="21"/>
                <w:szCs w:val="21"/>
                <w:bdr w:val="none" w:color="auto" w:sz="0" w:space="0"/>
              </w:rPr>
              <w:t>　</w:t>
            </w:r>
            <w:r>
              <w:rPr>
                <w:rFonts w:hint="eastAsia" w:ascii="仿宋_GB2312" w:hAnsi="仿宋_GB2312" w:eastAsia="仿宋_GB2312" w:cs="仿宋_GB2312"/>
                <w:sz w:val="24"/>
                <w:szCs w:val="24"/>
                <w:bdr w:val="none" w:color="auto" w:sz="0" w:space="0"/>
              </w:rPr>
              <w:t>0</w:t>
            </w:r>
          </w:p>
        </w:tc>
        <w:tc>
          <w:tcPr>
            <w:tcW w:w="1980"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1"/>
                <w:szCs w:val="21"/>
                <w:bdr w:val="none" w:color="auto" w:sz="0" w:space="0"/>
              </w:rPr>
              <w:t> </w:t>
            </w:r>
            <w:r>
              <w:rPr>
                <w:rFonts w:hint="eastAsia" w:ascii="仿宋_GB2312" w:hAnsi="仿宋_GB2312" w:eastAsia="仿宋_GB2312" w:cs="仿宋_GB2312"/>
                <w:sz w:val="24"/>
                <w:szCs w:val="24"/>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1"/>
                <w:szCs w:val="21"/>
                <w:bdr w:val="none" w:color="auto" w:sz="0" w:space="0"/>
              </w:rPr>
              <w:t>行政规范性文件</w:t>
            </w:r>
          </w:p>
        </w:tc>
        <w:tc>
          <w:tcPr>
            <w:tcW w:w="2430"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　　0</w:t>
            </w:r>
          </w:p>
        </w:tc>
        <w:tc>
          <w:tcPr>
            <w:tcW w:w="1875"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 </w:t>
            </w:r>
            <w:r>
              <w:rPr>
                <w:rFonts w:hint="eastAsia" w:ascii="仿宋_GB2312" w:hAnsi="仿宋_GB2312" w:eastAsia="仿宋_GB2312" w:cs="仿宋_GB2312"/>
                <w:sz w:val="21"/>
                <w:szCs w:val="21"/>
                <w:bdr w:val="none" w:color="auto" w:sz="0" w:space="0"/>
              </w:rPr>
              <w:t>　</w:t>
            </w:r>
            <w:r>
              <w:rPr>
                <w:rFonts w:hint="eastAsia" w:ascii="仿宋_GB2312" w:hAnsi="仿宋_GB2312" w:eastAsia="仿宋_GB2312" w:cs="仿宋_GB2312"/>
                <w:sz w:val="24"/>
                <w:szCs w:val="24"/>
                <w:bdr w:val="none" w:color="auto" w:sz="0" w:space="0"/>
              </w:rPr>
              <w:t>0</w:t>
            </w:r>
          </w:p>
        </w:tc>
        <w:tc>
          <w:tcPr>
            <w:tcW w:w="1980"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1"/>
                <w:szCs w:val="21"/>
                <w:bdr w:val="none" w:color="auto" w:sz="0" w:space="0"/>
              </w:rPr>
              <w:t> </w:t>
            </w:r>
            <w:r>
              <w:rPr>
                <w:rFonts w:hint="eastAsia" w:ascii="仿宋_GB2312" w:hAnsi="仿宋_GB2312" w:eastAsia="仿宋_GB2312" w:cs="仿宋_GB2312"/>
                <w:sz w:val="24"/>
                <w:szCs w:val="24"/>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8730" w:type="dxa"/>
            <w:gridSpan w:val="4"/>
            <w:tcBorders>
              <w:top w:val="nil"/>
              <w:left w:val="single" w:color="auto" w:sz="6" w:space="0"/>
              <w:bottom w:val="single" w:color="auto" w:sz="6" w:space="0"/>
              <w:right w:val="single" w:color="auto" w:sz="6" w:space="0"/>
            </w:tcBorders>
            <w:shd w:val="clear" w:color="auto" w:fill="C6D9F1"/>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1"/>
                <w:szCs w:val="21"/>
                <w:bdr w:val="none" w:color="auto" w:sz="0" w:space="0"/>
              </w:rPr>
              <w:t>第二十条第（五）项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1"/>
                <w:szCs w:val="21"/>
                <w:bdr w:val="none" w:color="auto" w:sz="0" w:space="0"/>
              </w:rPr>
              <w:t>信息内容</w:t>
            </w:r>
          </w:p>
        </w:tc>
        <w:tc>
          <w:tcPr>
            <w:tcW w:w="6300" w:type="dxa"/>
            <w:gridSpan w:val="3"/>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1"/>
                <w:szCs w:val="21"/>
                <w:bdr w:val="none" w:color="auto" w:sz="0" w:space="0"/>
              </w:rPr>
              <w:t>本年处理决定数量</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1"/>
                <w:szCs w:val="21"/>
                <w:bdr w:val="none" w:color="auto" w:sz="0" w:space="0"/>
              </w:rPr>
              <w:t>行政许可</w:t>
            </w:r>
          </w:p>
        </w:tc>
        <w:tc>
          <w:tcPr>
            <w:tcW w:w="6300" w:type="dxa"/>
            <w:gridSpan w:val="3"/>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1"/>
                <w:szCs w:val="21"/>
                <w:bdr w:val="none" w:color="auto" w:sz="0" w:space="0"/>
              </w:rPr>
              <w:t> </w:t>
            </w:r>
            <w:r>
              <w:rPr>
                <w:rFonts w:hint="eastAsia" w:ascii="仿宋_GB2312" w:hAnsi="仿宋_GB2312" w:eastAsia="仿宋_GB2312" w:cs="仿宋_GB2312"/>
                <w:sz w:val="24"/>
                <w:szCs w:val="24"/>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8730" w:type="dxa"/>
            <w:gridSpan w:val="4"/>
            <w:tcBorders>
              <w:top w:val="nil"/>
              <w:left w:val="single" w:color="auto" w:sz="6" w:space="0"/>
              <w:bottom w:val="single" w:color="auto" w:sz="6" w:space="0"/>
              <w:right w:val="single" w:color="auto" w:sz="6" w:space="0"/>
            </w:tcBorders>
            <w:shd w:val="clear" w:color="auto" w:fill="C6D9F1"/>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1"/>
                <w:szCs w:val="21"/>
                <w:bdr w:val="none" w:color="auto" w:sz="0" w:space="0"/>
              </w:rPr>
              <w:t>第二十条第（六）项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1"/>
                <w:szCs w:val="21"/>
                <w:bdr w:val="none" w:color="auto" w:sz="0" w:space="0"/>
              </w:rPr>
              <w:t>信息内容</w:t>
            </w:r>
          </w:p>
        </w:tc>
        <w:tc>
          <w:tcPr>
            <w:tcW w:w="6300" w:type="dxa"/>
            <w:gridSpan w:val="3"/>
            <w:tcBorders>
              <w:top w:val="single" w:color="auto" w:sz="6" w:space="0"/>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1"/>
                <w:szCs w:val="21"/>
                <w:bdr w:val="none" w:color="auto" w:sz="0" w:space="0"/>
              </w:rPr>
              <w:t>本年处理决定数量</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1"/>
                <w:szCs w:val="21"/>
                <w:bdr w:val="none" w:color="auto" w:sz="0" w:space="0"/>
              </w:rPr>
              <w:t>行政处罚</w:t>
            </w:r>
          </w:p>
        </w:tc>
        <w:tc>
          <w:tcPr>
            <w:tcW w:w="6300" w:type="dxa"/>
            <w:gridSpan w:val="3"/>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　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1"/>
                <w:szCs w:val="21"/>
                <w:bdr w:val="none" w:color="auto" w:sz="0" w:space="0"/>
              </w:rPr>
              <w:t>行政强制</w:t>
            </w:r>
          </w:p>
        </w:tc>
        <w:tc>
          <w:tcPr>
            <w:tcW w:w="6300" w:type="dxa"/>
            <w:gridSpan w:val="3"/>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　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8730" w:type="dxa"/>
            <w:gridSpan w:val="4"/>
            <w:tcBorders>
              <w:top w:val="nil"/>
              <w:left w:val="single" w:color="auto" w:sz="6" w:space="0"/>
              <w:bottom w:val="single" w:color="auto" w:sz="6" w:space="0"/>
              <w:right w:val="single" w:color="auto" w:sz="6" w:space="0"/>
            </w:tcBorders>
            <w:shd w:val="clear" w:color="auto" w:fill="C6D9F1"/>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1"/>
                <w:szCs w:val="21"/>
                <w:bdr w:val="none" w:color="auto" w:sz="0" w:space="0"/>
              </w:rPr>
              <w:t>第二十条第（八）项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1"/>
                <w:szCs w:val="21"/>
                <w:bdr w:val="none" w:color="auto" w:sz="0" w:space="0"/>
              </w:rPr>
              <w:t>信息内容</w:t>
            </w:r>
          </w:p>
        </w:tc>
        <w:tc>
          <w:tcPr>
            <w:tcW w:w="6300" w:type="dxa"/>
            <w:gridSpan w:val="3"/>
            <w:tcBorders>
              <w:top w:val="nil"/>
              <w:left w:val="nil"/>
              <w:bottom w:val="single" w:color="auto" w:sz="6" w:space="0"/>
              <w:right w:val="single" w:color="000000"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1"/>
                <w:szCs w:val="21"/>
                <w:bdr w:val="none" w:color="auto" w:sz="0" w:space="0"/>
              </w:rPr>
              <w:t>本年收费金额（单位：万元）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1"/>
                <w:szCs w:val="21"/>
                <w:bdr w:val="none" w:color="auto" w:sz="0" w:space="0"/>
              </w:rPr>
              <w:t>行政事业性收费</w:t>
            </w:r>
          </w:p>
        </w:tc>
        <w:tc>
          <w:tcPr>
            <w:tcW w:w="6300" w:type="dxa"/>
            <w:gridSpan w:val="3"/>
            <w:tcBorders>
              <w:top w:val="nil"/>
              <w:left w:val="nil"/>
              <w:bottom w:val="single" w:color="auto" w:sz="6" w:space="0"/>
              <w:right w:val="single" w:color="000000"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仿宋_GB2312" w:hAnsi="仿宋_GB2312" w:eastAsia="仿宋_GB2312" w:cs="仿宋_GB2312"/>
          <w:i w:val="0"/>
          <w:iCs w:val="0"/>
          <w:caps w:val="0"/>
          <w:color w:val="333333"/>
          <w:spacing w:val="0"/>
          <w:sz w:val="24"/>
          <w:szCs w:val="24"/>
        </w:rPr>
      </w:pPr>
      <w:r>
        <w:rPr>
          <w:rFonts w:hint="eastAsia" w:ascii="仿宋_GB2312" w:hAnsi="仿宋_GB2312" w:eastAsia="仿宋_GB2312" w:cs="仿宋_GB2312"/>
          <w:i w:val="0"/>
          <w:iCs w:val="0"/>
          <w:caps w:val="0"/>
          <w:color w:val="333333"/>
          <w:spacing w:val="0"/>
          <w:sz w:val="24"/>
          <w:szCs w:val="24"/>
          <w:bdr w:val="none" w:color="auto" w:sz="0" w:space="0"/>
          <w:shd w:val="clear" w:fill="FFFFFF"/>
        </w:rPr>
        <w:t>三、收到和处理政府信息公开申请情况</w:t>
      </w: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17"/>
        <w:gridCol w:w="904"/>
        <w:gridCol w:w="2670"/>
        <w:gridCol w:w="614"/>
        <w:gridCol w:w="614"/>
        <w:gridCol w:w="614"/>
        <w:gridCol w:w="614"/>
        <w:gridCol w:w="614"/>
        <w:gridCol w:w="590"/>
        <w:gridCol w:w="520"/>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935" w:type="dxa"/>
            <w:gridSpan w:val="3"/>
            <w:vMerge w:val="restart"/>
            <w:tcBorders>
              <w:top w:val="single" w:color="auto" w:sz="6" w:space="0"/>
              <w:left w:val="single" w:color="auto" w:sz="6" w:space="0"/>
              <w:bottom w:val="outset"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1"/>
                <w:szCs w:val="21"/>
                <w:bdr w:val="none" w:color="auto" w:sz="0" w:space="0"/>
              </w:rPr>
              <w:t>（本列数据的勾稽关系为：第一项加第二项之和，等于第三项加第四项之和）</w:t>
            </w:r>
          </w:p>
        </w:tc>
        <w:tc>
          <w:tcPr>
            <w:tcW w:w="4680" w:type="dxa"/>
            <w:gridSpan w:val="7"/>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1"/>
                <w:szCs w:val="21"/>
                <w:bdr w:val="none" w:color="auto" w:sz="0" w:space="0"/>
              </w:rPr>
              <w:t>申请人情况</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4935" w:type="dxa"/>
            <w:gridSpan w:val="3"/>
            <w:vMerge w:val="continue"/>
            <w:tcBorders>
              <w:top w:val="single" w:color="auto" w:sz="6" w:space="0"/>
              <w:left w:val="single" w:color="auto" w:sz="6" w:space="0"/>
              <w:bottom w:val="outset" w:color="auto" w:sz="6" w:space="0"/>
              <w:right w:val="single" w:color="auto" w:sz="6" w:space="0"/>
            </w:tcBorders>
            <w:shd w:val="clear"/>
            <w:tcMar>
              <w:left w:w="105" w:type="dxa"/>
              <w:right w:w="105" w:type="dxa"/>
            </w:tcMar>
            <w:vAlign w:val="center"/>
          </w:tcPr>
          <w:p>
            <w:pPr>
              <w:rPr>
                <w:rFonts w:hint="eastAsia" w:ascii="仿宋_GB2312" w:hAnsi="仿宋_GB2312" w:eastAsia="仿宋_GB2312" w:cs="仿宋_GB2312"/>
                <w:sz w:val="24"/>
                <w:szCs w:val="24"/>
              </w:rPr>
            </w:pPr>
          </w:p>
        </w:tc>
        <w:tc>
          <w:tcPr>
            <w:tcW w:w="690" w:type="dxa"/>
            <w:vMerge w:val="restart"/>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1"/>
                <w:szCs w:val="21"/>
                <w:bdr w:val="none" w:color="auto" w:sz="0" w:space="0"/>
              </w:rPr>
              <w:t>自然人</w:t>
            </w:r>
          </w:p>
        </w:tc>
        <w:tc>
          <w:tcPr>
            <w:tcW w:w="3420" w:type="dxa"/>
            <w:gridSpan w:val="5"/>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1"/>
                <w:szCs w:val="21"/>
                <w:bdr w:val="none" w:color="auto" w:sz="0" w:space="0"/>
              </w:rPr>
              <w:t>法人或其他组织</w:t>
            </w:r>
          </w:p>
        </w:tc>
        <w:tc>
          <w:tcPr>
            <w:tcW w:w="570" w:type="dxa"/>
            <w:vMerge w:val="restart"/>
            <w:tcBorders>
              <w:top w:val="single" w:color="auto" w:sz="6" w:space="0"/>
              <w:left w:val="single" w:color="auto" w:sz="6" w:space="0"/>
              <w:bottom w:val="outset"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1"/>
                <w:szCs w:val="21"/>
                <w:bdr w:val="none" w:color="auto" w:sz="0" w:space="0"/>
              </w:rPr>
              <w:t>总计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840" w:hRule="atLeast"/>
          <w:jc w:val="center"/>
        </w:trPr>
        <w:tc>
          <w:tcPr>
            <w:tcW w:w="4935" w:type="dxa"/>
            <w:gridSpan w:val="3"/>
            <w:vMerge w:val="continue"/>
            <w:tcBorders>
              <w:top w:val="single" w:color="auto" w:sz="6" w:space="0"/>
              <w:left w:val="single" w:color="auto" w:sz="6" w:space="0"/>
              <w:bottom w:val="outset" w:color="auto" w:sz="6" w:space="0"/>
              <w:right w:val="single" w:color="auto" w:sz="6" w:space="0"/>
            </w:tcBorders>
            <w:shd w:val="clear"/>
            <w:tcMar>
              <w:left w:w="105" w:type="dxa"/>
              <w:right w:w="105" w:type="dxa"/>
            </w:tcMar>
            <w:vAlign w:val="center"/>
          </w:tcPr>
          <w:p>
            <w:pPr>
              <w:rPr>
                <w:rFonts w:hint="eastAsia" w:ascii="仿宋_GB2312" w:hAnsi="仿宋_GB2312" w:eastAsia="仿宋_GB2312" w:cs="仿宋_GB2312"/>
                <w:sz w:val="24"/>
                <w:szCs w:val="24"/>
              </w:rPr>
            </w:pPr>
          </w:p>
        </w:tc>
        <w:tc>
          <w:tcPr>
            <w:tcW w:w="690" w:type="dxa"/>
            <w:vMerge w:val="continue"/>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rPr>
                <w:rFonts w:hint="eastAsia" w:ascii="仿宋_GB2312" w:hAnsi="仿宋_GB2312" w:eastAsia="仿宋_GB2312" w:cs="仿宋_GB2312"/>
                <w:sz w:val="24"/>
                <w:szCs w:val="24"/>
              </w:rPr>
            </w:pPr>
          </w:p>
        </w:tc>
        <w:tc>
          <w:tcPr>
            <w:tcW w:w="69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1"/>
                <w:szCs w:val="21"/>
                <w:bdr w:val="none" w:color="auto" w:sz="0" w:space="0"/>
              </w:rPr>
              <w:t>商业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1"/>
                <w:szCs w:val="21"/>
                <w:bdr w:val="none" w:color="auto" w:sz="0" w:space="0"/>
              </w:rPr>
              <w:t>企业</w:t>
            </w:r>
          </w:p>
        </w:tc>
        <w:tc>
          <w:tcPr>
            <w:tcW w:w="69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1"/>
                <w:szCs w:val="21"/>
                <w:bdr w:val="none" w:color="auto" w:sz="0" w:space="0"/>
              </w:rPr>
              <w:t>科研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1"/>
                <w:szCs w:val="21"/>
                <w:bdr w:val="none" w:color="auto" w:sz="0" w:space="0"/>
              </w:rPr>
              <w:t>机构</w:t>
            </w:r>
          </w:p>
        </w:tc>
        <w:tc>
          <w:tcPr>
            <w:tcW w:w="69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1"/>
                <w:szCs w:val="21"/>
                <w:bdr w:val="none" w:color="auto" w:sz="0" w:space="0"/>
              </w:rPr>
              <w:t>社会公益组织</w:t>
            </w:r>
          </w:p>
        </w:tc>
        <w:tc>
          <w:tcPr>
            <w:tcW w:w="69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1"/>
                <w:szCs w:val="21"/>
                <w:bdr w:val="none" w:color="auto" w:sz="0" w:space="0"/>
              </w:rPr>
              <w:t>法律服务机构</w:t>
            </w:r>
          </w:p>
        </w:tc>
        <w:tc>
          <w:tcPr>
            <w:tcW w:w="66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1"/>
                <w:szCs w:val="21"/>
                <w:bdr w:val="none" w:color="auto" w:sz="0" w:space="0"/>
              </w:rPr>
              <w:t>其他</w:t>
            </w:r>
          </w:p>
        </w:tc>
        <w:tc>
          <w:tcPr>
            <w:tcW w:w="570" w:type="dxa"/>
            <w:vMerge w:val="continue"/>
            <w:tcBorders>
              <w:top w:val="single" w:color="auto" w:sz="6" w:space="0"/>
              <w:left w:val="single" w:color="auto" w:sz="6" w:space="0"/>
              <w:bottom w:val="outset" w:color="auto" w:sz="6" w:space="0"/>
              <w:right w:val="single" w:color="auto" w:sz="6" w:space="0"/>
            </w:tcBorders>
            <w:shd w:val="clear"/>
            <w:tcMar>
              <w:left w:w="60" w:type="dxa"/>
              <w:right w:w="60" w:type="dxa"/>
            </w:tcMar>
            <w:vAlign w:val="center"/>
          </w:tcPr>
          <w:p>
            <w:pPr>
              <w:rPr>
                <w:rFonts w:hint="eastAsia" w:ascii="仿宋_GB2312" w:hAnsi="仿宋_GB2312" w:eastAsia="仿宋_GB2312" w:cs="仿宋_GB2312"/>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4935" w:type="dxa"/>
            <w:gridSpan w:val="3"/>
            <w:tcBorders>
              <w:top w:val="nil"/>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1"/>
                <w:szCs w:val="21"/>
                <w:bdr w:val="none" w:color="auto" w:sz="0" w:space="0"/>
              </w:rPr>
              <w:t>一、本年新收政府信息公开申请数量</w:t>
            </w:r>
          </w:p>
        </w:tc>
        <w:tc>
          <w:tcPr>
            <w:tcW w:w="690"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1</w:t>
            </w:r>
          </w:p>
        </w:tc>
        <w:tc>
          <w:tcPr>
            <w:tcW w:w="690"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60"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570"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4935" w:type="dxa"/>
            <w:gridSpan w:val="3"/>
            <w:tcBorders>
              <w:top w:val="nil"/>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1"/>
                <w:szCs w:val="21"/>
                <w:bdr w:val="none" w:color="auto" w:sz="0" w:space="0"/>
              </w:rPr>
              <w:t>二、上年结转政府信息公开申请数量</w:t>
            </w:r>
          </w:p>
        </w:tc>
        <w:tc>
          <w:tcPr>
            <w:tcW w:w="690"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60"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570"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restart"/>
            <w:tcBorders>
              <w:top w:val="single" w:color="auto" w:sz="6" w:space="0"/>
              <w:left w:val="single" w:color="auto" w:sz="6" w:space="0"/>
              <w:bottom w:val="outset"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1"/>
                <w:szCs w:val="21"/>
                <w:bdr w:val="none" w:color="auto" w:sz="0" w:space="0"/>
              </w:rPr>
              <w:t>三、本年度办理结果</w:t>
            </w:r>
          </w:p>
        </w:tc>
        <w:tc>
          <w:tcPr>
            <w:tcW w:w="4155" w:type="dxa"/>
            <w:gridSpan w:val="2"/>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1"/>
                <w:szCs w:val="21"/>
                <w:bdr w:val="none" w:color="auto" w:sz="0" w:space="0"/>
              </w:rPr>
              <w:t>（一）予以公开</w:t>
            </w:r>
          </w:p>
        </w:tc>
        <w:tc>
          <w:tcPr>
            <w:tcW w:w="690"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690" w:type="dxa"/>
            <w:tcBorders>
              <w:top w:val="nil"/>
              <w:left w:val="nil"/>
              <w:bottom w:val="single" w:color="auto" w:sz="6" w:space="0"/>
              <w:right w:val="double" w:color="auto" w:sz="2"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single" w:color="auto" w:sz="6" w:space="0"/>
              <w:left w:val="double" w:color="auto" w:sz="2" w:space="0"/>
              <w:bottom w:val="dashed"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60" w:type="dxa"/>
            <w:tcBorders>
              <w:top w:val="single" w:color="auto" w:sz="6" w:space="0"/>
              <w:left w:val="double" w:color="auto" w:sz="2" w:space="0"/>
              <w:bottom w:val="dashed"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570" w:type="dxa"/>
            <w:tcBorders>
              <w:top w:val="single" w:color="auto" w:sz="6" w:space="0"/>
              <w:left w:val="nil"/>
              <w:bottom w:val="single" w:color="auto" w:sz="6" w:space="0"/>
              <w:right w:val="dashed"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single" w:color="auto" w:sz="6" w:space="0"/>
              <w:left w:val="single" w:color="auto" w:sz="6" w:space="0"/>
              <w:bottom w:val="outset" w:color="auto" w:sz="6" w:space="0"/>
              <w:right w:val="single" w:color="auto" w:sz="6" w:space="0"/>
            </w:tcBorders>
            <w:shd w:val="clear"/>
            <w:tcMar>
              <w:left w:w="60" w:type="dxa"/>
              <w:right w:w="60" w:type="dxa"/>
            </w:tcMar>
            <w:vAlign w:val="center"/>
          </w:tcPr>
          <w:p>
            <w:pPr>
              <w:rPr>
                <w:rFonts w:hint="eastAsia" w:ascii="仿宋_GB2312" w:hAnsi="仿宋_GB2312" w:eastAsia="仿宋_GB2312" w:cs="仿宋_GB2312"/>
                <w:sz w:val="24"/>
                <w:szCs w:val="24"/>
              </w:rPr>
            </w:pPr>
          </w:p>
        </w:tc>
        <w:tc>
          <w:tcPr>
            <w:tcW w:w="4155" w:type="dxa"/>
            <w:gridSpan w:val="2"/>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1"/>
                <w:szCs w:val="21"/>
                <w:bdr w:val="none" w:color="auto" w:sz="0" w:space="0"/>
              </w:rPr>
              <w:t>（二）部分公开（区分处理的，只计这一情形，不计其他情形）</w:t>
            </w:r>
          </w:p>
        </w:tc>
        <w:tc>
          <w:tcPr>
            <w:tcW w:w="690"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nil"/>
              <w:left w:val="nil"/>
              <w:bottom w:val="single" w:color="auto" w:sz="6" w:space="0"/>
              <w:right w:val="double" w:color="auto" w:sz="2"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single" w:color="auto" w:sz="6" w:space="0"/>
              <w:left w:val="double" w:color="auto" w:sz="2" w:space="0"/>
              <w:bottom w:val="dashed"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6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570" w:type="dxa"/>
            <w:tcBorders>
              <w:top w:val="nil"/>
              <w:left w:val="nil"/>
              <w:bottom w:val="single" w:color="auto" w:sz="6" w:space="0"/>
              <w:right w:val="dashed"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single" w:color="auto" w:sz="6" w:space="0"/>
              <w:left w:val="single" w:color="auto" w:sz="6" w:space="0"/>
              <w:bottom w:val="outset" w:color="auto" w:sz="6" w:space="0"/>
              <w:right w:val="single" w:color="auto" w:sz="6" w:space="0"/>
            </w:tcBorders>
            <w:shd w:val="clear"/>
            <w:tcMar>
              <w:left w:w="60" w:type="dxa"/>
              <w:right w:w="60" w:type="dxa"/>
            </w:tcMar>
            <w:vAlign w:val="center"/>
          </w:tcPr>
          <w:p>
            <w:pPr>
              <w:rPr>
                <w:rFonts w:hint="eastAsia" w:ascii="仿宋_GB2312" w:hAnsi="仿宋_GB2312" w:eastAsia="仿宋_GB2312" w:cs="仿宋_GB2312"/>
                <w:sz w:val="24"/>
                <w:szCs w:val="24"/>
              </w:rPr>
            </w:pPr>
          </w:p>
        </w:tc>
        <w:tc>
          <w:tcPr>
            <w:tcW w:w="945" w:type="dxa"/>
            <w:vMerge w:val="restart"/>
            <w:tcBorders>
              <w:top w:val="single" w:color="auto" w:sz="6" w:space="0"/>
              <w:left w:val="single" w:color="auto" w:sz="6" w:space="0"/>
              <w:bottom w:val="outset"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1"/>
                <w:szCs w:val="21"/>
                <w:bdr w:val="none" w:color="auto" w:sz="0" w:space="0"/>
              </w:rPr>
              <w:t>（三）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1"/>
                <w:szCs w:val="21"/>
                <w:bdr w:val="none" w:color="auto" w:sz="0" w:space="0"/>
              </w:rPr>
              <w:t>不予公开</w:t>
            </w:r>
          </w:p>
        </w:tc>
        <w:tc>
          <w:tcPr>
            <w:tcW w:w="321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1.属于国家秘密</w:t>
            </w:r>
          </w:p>
        </w:tc>
        <w:tc>
          <w:tcPr>
            <w:tcW w:w="690"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single" w:color="auto" w:sz="6" w:space="0"/>
              <w:left w:val="single" w:color="auto" w:sz="6" w:space="0"/>
              <w:bottom w:val="double" w:color="auto" w:sz="2" w:space="0"/>
              <w:right w:val="dashed"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60"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570" w:type="dxa"/>
            <w:tcBorders>
              <w:top w:val="single" w:color="auto" w:sz="6" w:space="0"/>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single" w:color="auto" w:sz="6" w:space="0"/>
              <w:left w:val="single" w:color="auto" w:sz="6" w:space="0"/>
              <w:bottom w:val="outset" w:color="auto" w:sz="6" w:space="0"/>
              <w:right w:val="single" w:color="auto" w:sz="6" w:space="0"/>
            </w:tcBorders>
            <w:shd w:val="clear"/>
            <w:tcMar>
              <w:left w:w="60" w:type="dxa"/>
              <w:right w:w="60" w:type="dxa"/>
            </w:tcMar>
            <w:vAlign w:val="center"/>
          </w:tcPr>
          <w:p>
            <w:pPr>
              <w:rPr>
                <w:rFonts w:hint="eastAsia" w:ascii="仿宋_GB2312" w:hAnsi="仿宋_GB2312" w:eastAsia="仿宋_GB2312" w:cs="仿宋_GB2312"/>
                <w:sz w:val="24"/>
                <w:szCs w:val="24"/>
              </w:rPr>
            </w:pPr>
          </w:p>
        </w:tc>
        <w:tc>
          <w:tcPr>
            <w:tcW w:w="945" w:type="dxa"/>
            <w:vMerge w:val="continue"/>
            <w:tcBorders>
              <w:top w:val="single" w:color="auto" w:sz="6" w:space="0"/>
              <w:left w:val="single" w:color="auto" w:sz="6" w:space="0"/>
              <w:bottom w:val="outset" w:color="auto" w:sz="6" w:space="0"/>
              <w:right w:val="single" w:color="auto" w:sz="6" w:space="0"/>
            </w:tcBorders>
            <w:shd w:val="clear"/>
            <w:tcMar>
              <w:left w:w="60" w:type="dxa"/>
              <w:right w:w="60" w:type="dxa"/>
            </w:tcMar>
            <w:vAlign w:val="center"/>
          </w:tcPr>
          <w:p>
            <w:pPr>
              <w:rPr>
                <w:rFonts w:hint="eastAsia" w:ascii="仿宋_GB2312" w:hAnsi="仿宋_GB2312" w:eastAsia="仿宋_GB2312" w:cs="仿宋_GB2312"/>
                <w:sz w:val="24"/>
                <w:szCs w:val="24"/>
              </w:rPr>
            </w:pPr>
          </w:p>
        </w:tc>
        <w:tc>
          <w:tcPr>
            <w:tcW w:w="321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2.其他法律行政法规禁止公开</w:t>
            </w:r>
          </w:p>
        </w:tc>
        <w:tc>
          <w:tcPr>
            <w:tcW w:w="690"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single" w:color="auto" w:sz="6" w:space="0"/>
              <w:left w:val="single" w:color="auto" w:sz="6" w:space="0"/>
              <w:bottom w:val="double" w:color="auto" w:sz="2" w:space="0"/>
              <w:right w:val="dashed"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60"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570"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single" w:color="auto" w:sz="6" w:space="0"/>
              <w:left w:val="single" w:color="auto" w:sz="6" w:space="0"/>
              <w:bottom w:val="outset" w:color="auto" w:sz="6" w:space="0"/>
              <w:right w:val="single" w:color="auto" w:sz="6" w:space="0"/>
            </w:tcBorders>
            <w:shd w:val="clear"/>
            <w:tcMar>
              <w:left w:w="60" w:type="dxa"/>
              <w:right w:w="60" w:type="dxa"/>
            </w:tcMar>
            <w:vAlign w:val="center"/>
          </w:tcPr>
          <w:p>
            <w:pPr>
              <w:rPr>
                <w:rFonts w:hint="eastAsia" w:ascii="仿宋_GB2312" w:hAnsi="仿宋_GB2312" w:eastAsia="仿宋_GB2312" w:cs="仿宋_GB2312"/>
                <w:sz w:val="24"/>
                <w:szCs w:val="24"/>
              </w:rPr>
            </w:pPr>
          </w:p>
        </w:tc>
        <w:tc>
          <w:tcPr>
            <w:tcW w:w="945" w:type="dxa"/>
            <w:vMerge w:val="continue"/>
            <w:tcBorders>
              <w:top w:val="single" w:color="auto" w:sz="6" w:space="0"/>
              <w:left w:val="single" w:color="auto" w:sz="6" w:space="0"/>
              <w:bottom w:val="outset" w:color="auto" w:sz="6" w:space="0"/>
              <w:right w:val="single" w:color="auto" w:sz="6" w:space="0"/>
            </w:tcBorders>
            <w:shd w:val="clear"/>
            <w:tcMar>
              <w:left w:w="60" w:type="dxa"/>
              <w:right w:w="60" w:type="dxa"/>
            </w:tcMar>
            <w:vAlign w:val="center"/>
          </w:tcPr>
          <w:p>
            <w:pPr>
              <w:rPr>
                <w:rFonts w:hint="eastAsia" w:ascii="仿宋_GB2312" w:hAnsi="仿宋_GB2312" w:eastAsia="仿宋_GB2312" w:cs="仿宋_GB2312"/>
                <w:sz w:val="24"/>
                <w:szCs w:val="24"/>
              </w:rPr>
            </w:pPr>
          </w:p>
        </w:tc>
        <w:tc>
          <w:tcPr>
            <w:tcW w:w="321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3.危及“三安全一稳定”</w:t>
            </w:r>
          </w:p>
        </w:tc>
        <w:tc>
          <w:tcPr>
            <w:tcW w:w="690"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single" w:color="auto" w:sz="6" w:space="0"/>
              <w:left w:val="single" w:color="auto" w:sz="6" w:space="0"/>
              <w:bottom w:val="double" w:color="auto" w:sz="2" w:space="0"/>
              <w:right w:val="dashed"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60"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570"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single" w:color="auto" w:sz="6" w:space="0"/>
              <w:left w:val="single" w:color="auto" w:sz="6" w:space="0"/>
              <w:bottom w:val="outset" w:color="auto" w:sz="6" w:space="0"/>
              <w:right w:val="single" w:color="auto" w:sz="6" w:space="0"/>
            </w:tcBorders>
            <w:shd w:val="clear"/>
            <w:tcMar>
              <w:left w:w="60" w:type="dxa"/>
              <w:right w:w="60" w:type="dxa"/>
            </w:tcMar>
            <w:vAlign w:val="center"/>
          </w:tcPr>
          <w:p>
            <w:pPr>
              <w:rPr>
                <w:rFonts w:hint="eastAsia" w:ascii="仿宋_GB2312" w:hAnsi="仿宋_GB2312" w:eastAsia="仿宋_GB2312" w:cs="仿宋_GB2312"/>
                <w:sz w:val="24"/>
                <w:szCs w:val="24"/>
              </w:rPr>
            </w:pPr>
          </w:p>
        </w:tc>
        <w:tc>
          <w:tcPr>
            <w:tcW w:w="945" w:type="dxa"/>
            <w:vMerge w:val="continue"/>
            <w:tcBorders>
              <w:top w:val="single" w:color="auto" w:sz="6" w:space="0"/>
              <w:left w:val="single" w:color="auto" w:sz="6" w:space="0"/>
              <w:bottom w:val="outset" w:color="auto" w:sz="6" w:space="0"/>
              <w:right w:val="single" w:color="auto" w:sz="6" w:space="0"/>
            </w:tcBorders>
            <w:shd w:val="clear"/>
            <w:tcMar>
              <w:left w:w="60" w:type="dxa"/>
              <w:right w:w="60" w:type="dxa"/>
            </w:tcMar>
            <w:vAlign w:val="center"/>
          </w:tcPr>
          <w:p>
            <w:pPr>
              <w:rPr>
                <w:rFonts w:hint="eastAsia" w:ascii="仿宋_GB2312" w:hAnsi="仿宋_GB2312" w:eastAsia="仿宋_GB2312" w:cs="仿宋_GB2312"/>
                <w:sz w:val="24"/>
                <w:szCs w:val="24"/>
              </w:rPr>
            </w:pPr>
          </w:p>
        </w:tc>
        <w:tc>
          <w:tcPr>
            <w:tcW w:w="321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4.保护第三方合法权益</w:t>
            </w:r>
          </w:p>
        </w:tc>
        <w:tc>
          <w:tcPr>
            <w:tcW w:w="690"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single" w:color="auto" w:sz="6" w:space="0"/>
              <w:left w:val="single" w:color="auto" w:sz="6" w:space="0"/>
              <w:bottom w:val="double" w:color="auto" w:sz="2" w:space="0"/>
              <w:right w:val="dashed"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60"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570"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single" w:color="auto" w:sz="6" w:space="0"/>
              <w:left w:val="single" w:color="auto" w:sz="6" w:space="0"/>
              <w:bottom w:val="outset" w:color="auto" w:sz="6" w:space="0"/>
              <w:right w:val="single" w:color="auto" w:sz="6" w:space="0"/>
            </w:tcBorders>
            <w:shd w:val="clear"/>
            <w:tcMar>
              <w:left w:w="60" w:type="dxa"/>
              <w:right w:w="60" w:type="dxa"/>
            </w:tcMar>
            <w:vAlign w:val="center"/>
          </w:tcPr>
          <w:p>
            <w:pPr>
              <w:rPr>
                <w:rFonts w:hint="eastAsia" w:ascii="仿宋_GB2312" w:hAnsi="仿宋_GB2312" w:eastAsia="仿宋_GB2312" w:cs="仿宋_GB2312"/>
                <w:sz w:val="24"/>
                <w:szCs w:val="24"/>
              </w:rPr>
            </w:pPr>
          </w:p>
        </w:tc>
        <w:tc>
          <w:tcPr>
            <w:tcW w:w="945" w:type="dxa"/>
            <w:vMerge w:val="continue"/>
            <w:tcBorders>
              <w:top w:val="single" w:color="auto" w:sz="6" w:space="0"/>
              <w:left w:val="single" w:color="auto" w:sz="6" w:space="0"/>
              <w:bottom w:val="outset" w:color="auto" w:sz="6" w:space="0"/>
              <w:right w:val="single" w:color="auto" w:sz="6" w:space="0"/>
            </w:tcBorders>
            <w:shd w:val="clear"/>
            <w:tcMar>
              <w:left w:w="60" w:type="dxa"/>
              <w:right w:w="60" w:type="dxa"/>
            </w:tcMar>
            <w:vAlign w:val="center"/>
          </w:tcPr>
          <w:p>
            <w:pPr>
              <w:rPr>
                <w:rFonts w:hint="eastAsia" w:ascii="仿宋_GB2312" w:hAnsi="仿宋_GB2312" w:eastAsia="仿宋_GB2312" w:cs="仿宋_GB2312"/>
                <w:sz w:val="24"/>
                <w:szCs w:val="24"/>
              </w:rPr>
            </w:pPr>
          </w:p>
        </w:tc>
        <w:tc>
          <w:tcPr>
            <w:tcW w:w="321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5.属于三类内部事务信息</w:t>
            </w:r>
          </w:p>
        </w:tc>
        <w:tc>
          <w:tcPr>
            <w:tcW w:w="690"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single" w:color="auto" w:sz="6" w:space="0"/>
              <w:left w:val="single" w:color="auto" w:sz="6" w:space="0"/>
              <w:bottom w:val="double" w:color="auto" w:sz="2" w:space="0"/>
              <w:right w:val="dashed"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60"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570"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single" w:color="auto" w:sz="6" w:space="0"/>
              <w:left w:val="single" w:color="auto" w:sz="6" w:space="0"/>
              <w:bottom w:val="outset" w:color="auto" w:sz="6" w:space="0"/>
              <w:right w:val="single" w:color="auto" w:sz="6" w:space="0"/>
            </w:tcBorders>
            <w:shd w:val="clear"/>
            <w:tcMar>
              <w:left w:w="60" w:type="dxa"/>
              <w:right w:w="60" w:type="dxa"/>
            </w:tcMar>
            <w:vAlign w:val="center"/>
          </w:tcPr>
          <w:p>
            <w:pPr>
              <w:rPr>
                <w:rFonts w:hint="eastAsia" w:ascii="仿宋_GB2312" w:hAnsi="仿宋_GB2312" w:eastAsia="仿宋_GB2312" w:cs="仿宋_GB2312"/>
                <w:sz w:val="24"/>
                <w:szCs w:val="24"/>
              </w:rPr>
            </w:pPr>
          </w:p>
        </w:tc>
        <w:tc>
          <w:tcPr>
            <w:tcW w:w="945" w:type="dxa"/>
            <w:vMerge w:val="continue"/>
            <w:tcBorders>
              <w:top w:val="single" w:color="auto" w:sz="6" w:space="0"/>
              <w:left w:val="single" w:color="auto" w:sz="6" w:space="0"/>
              <w:bottom w:val="outset" w:color="auto" w:sz="6" w:space="0"/>
              <w:right w:val="single" w:color="auto" w:sz="6" w:space="0"/>
            </w:tcBorders>
            <w:shd w:val="clear"/>
            <w:tcMar>
              <w:left w:w="60" w:type="dxa"/>
              <w:right w:w="60" w:type="dxa"/>
            </w:tcMar>
            <w:vAlign w:val="center"/>
          </w:tcPr>
          <w:p>
            <w:pPr>
              <w:rPr>
                <w:rFonts w:hint="eastAsia" w:ascii="仿宋_GB2312" w:hAnsi="仿宋_GB2312" w:eastAsia="仿宋_GB2312" w:cs="仿宋_GB2312"/>
                <w:sz w:val="24"/>
                <w:szCs w:val="24"/>
              </w:rPr>
            </w:pPr>
          </w:p>
        </w:tc>
        <w:tc>
          <w:tcPr>
            <w:tcW w:w="321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6.属于四类过程性信息</w:t>
            </w:r>
          </w:p>
        </w:tc>
        <w:tc>
          <w:tcPr>
            <w:tcW w:w="690"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single" w:color="auto" w:sz="6" w:space="0"/>
              <w:left w:val="single" w:color="auto" w:sz="6" w:space="0"/>
              <w:bottom w:val="double" w:color="auto" w:sz="2" w:space="0"/>
              <w:right w:val="dashed"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60"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570"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single" w:color="auto" w:sz="6" w:space="0"/>
              <w:left w:val="single" w:color="auto" w:sz="6" w:space="0"/>
              <w:bottom w:val="outset" w:color="auto" w:sz="6" w:space="0"/>
              <w:right w:val="single" w:color="auto" w:sz="6" w:space="0"/>
            </w:tcBorders>
            <w:shd w:val="clear"/>
            <w:tcMar>
              <w:left w:w="60" w:type="dxa"/>
              <w:right w:w="60" w:type="dxa"/>
            </w:tcMar>
            <w:vAlign w:val="center"/>
          </w:tcPr>
          <w:p>
            <w:pPr>
              <w:rPr>
                <w:rFonts w:hint="eastAsia" w:ascii="仿宋_GB2312" w:hAnsi="仿宋_GB2312" w:eastAsia="仿宋_GB2312" w:cs="仿宋_GB2312"/>
                <w:sz w:val="24"/>
                <w:szCs w:val="24"/>
              </w:rPr>
            </w:pPr>
          </w:p>
        </w:tc>
        <w:tc>
          <w:tcPr>
            <w:tcW w:w="945" w:type="dxa"/>
            <w:vMerge w:val="continue"/>
            <w:tcBorders>
              <w:top w:val="single" w:color="auto" w:sz="6" w:space="0"/>
              <w:left w:val="single" w:color="auto" w:sz="6" w:space="0"/>
              <w:bottom w:val="outset" w:color="auto" w:sz="6" w:space="0"/>
              <w:right w:val="single" w:color="auto" w:sz="6" w:space="0"/>
            </w:tcBorders>
            <w:shd w:val="clear"/>
            <w:tcMar>
              <w:left w:w="60" w:type="dxa"/>
              <w:right w:w="60" w:type="dxa"/>
            </w:tcMar>
            <w:vAlign w:val="center"/>
          </w:tcPr>
          <w:p>
            <w:pPr>
              <w:rPr>
                <w:rFonts w:hint="eastAsia" w:ascii="仿宋_GB2312" w:hAnsi="仿宋_GB2312" w:eastAsia="仿宋_GB2312" w:cs="仿宋_GB2312"/>
                <w:sz w:val="24"/>
                <w:szCs w:val="24"/>
              </w:rPr>
            </w:pPr>
          </w:p>
        </w:tc>
        <w:tc>
          <w:tcPr>
            <w:tcW w:w="321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7.属于行政执法案卷</w:t>
            </w:r>
          </w:p>
        </w:tc>
        <w:tc>
          <w:tcPr>
            <w:tcW w:w="690"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single" w:color="auto" w:sz="6" w:space="0"/>
              <w:left w:val="single" w:color="auto" w:sz="6" w:space="0"/>
              <w:bottom w:val="double" w:color="auto" w:sz="2" w:space="0"/>
              <w:right w:val="dashed"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60"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570"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single" w:color="auto" w:sz="6" w:space="0"/>
              <w:left w:val="single" w:color="auto" w:sz="6" w:space="0"/>
              <w:bottom w:val="outset" w:color="auto" w:sz="6" w:space="0"/>
              <w:right w:val="single" w:color="auto" w:sz="6" w:space="0"/>
            </w:tcBorders>
            <w:shd w:val="clear"/>
            <w:tcMar>
              <w:left w:w="60" w:type="dxa"/>
              <w:right w:w="60" w:type="dxa"/>
            </w:tcMar>
            <w:vAlign w:val="center"/>
          </w:tcPr>
          <w:p>
            <w:pPr>
              <w:rPr>
                <w:rFonts w:hint="eastAsia" w:ascii="仿宋_GB2312" w:hAnsi="仿宋_GB2312" w:eastAsia="仿宋_GB2312" w:cs="仿宋_GB2312"/>
                <w:sz w:val="24"/>
                <w:szCs w:val="24"/>
              </w:rPr>
            </w:pPr>
          </w:p>
        </w:tc>
        <w:tc>
          <w:tcPr>
            <w:tcW w:w="945" w:type="dxa"/>
            <w:vMerge w:val="continue"/>
            <w:tcBorders>
              <w:top w:val="single" w:color="auto" w:sz="6" w:space="0"/>
              <w:left w:val="single" w:color="auto" w:sz="6" w:space="0"/>
              <w:bottom w:val="outset" w:color="auto" w:sz="6" w:space="0"/>
              <w:right w:val="single" w:color="auto" w:sz="6" w:space="0"/>
            </w:tcBorders>
            <w:shd w:val="clear"/>
            <w:tcMar>
              <w:left w:w="60" w:type="dxa"/>
              <w:right w:w="60" w:type="dxa"/>
            </w:tcMar>
            <w:vAlign w:val="center"/>
          </w:tcPr>
          <w:p>
            <w:pPr>
              <w:rPr>
                <w:rFonts w:hint="eastAsia" w:ascii="仿宋_GB2312" w:hAnsi="仿宋_GB2312" w:eastAsia="仿宋_GB2312" w:cs="仿宋_GB2312"/>
                <w:sz w:val="24"/>
                <w:szCs w:val="24"/>
              </w:rPr>
            </w:pPr>
          </w:p>
        </w:tc>
        <w:tc>
          <w:tcPr>
            <w:tcW w:w="321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8.属于行政查询事项</w:t>
            </w:r>
          </w:p>
        </w:tc>
        <w:tc>
          <w:tcPr>
            <w:tcW w:w="690"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single" w:color="auto" w:sz="6" w:space="0"/>
              <w:left w:val="single" w:color="auto" w:sz="6" w:space="0"/>
              <w:bottom w:val="double" w:color="auto" w:sz="2" w:space="0"/>
              <w:right w:val="dashed"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60"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570"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single" w:color="auto" w:sz="6" w:space="0"/>
              <w:left w:val="single" w:color="auto" w:sz="6" w:space="0"/>
              <w:bottom w:val="outset" w:color="auto" w:sz="6" w:space="0"/>
              <w:right w:val="single" w:color="auto" w:sz="6" w:space="0"/>
            </w:tcBorders>
            <w:shd w:val="clear"/>
            <w:tcMar>
              <w:left w:w="60" w:type="dxa"/>
              <w:right w:w="60" w:type="dxa"/>
            </w:tcMar>
            <w:vAlign w:val="center"/>
          </w:tcPr>
          <w:p>
            <w:pPr>
              <w:rPr>
                <w:rFonts w:hint="eastAsia" w:ascii="仿宋_GB2312" w:hAnsi="仿宋_GB2312" w:eastAsia="仿宋_GB2312" w:cs="仿宋_GB2312"/>
                <w:sz w:val="24"/>
                <w:szCs w:val="24"/>
              </w:rPr>
            </w:pPr>
          </w:p>
        </w:tc>
        <w:tc>
          <w:tcPr>
            <w:tcW w:w="945" w:type="dxa"/>
            <w:vMerge w:val="restart"/>
            <w:tcBorders>
              <w:top w:val="single" w:color="auto" w:sz="6" w:space="0"/>
              <w:left w:val="single" w:color="auto" w:sz="6" w:space="0"/>
              <w:bottom w:val="outset"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1"/>
                <w:szCs w:val="21"/>
                <w:bdr w:val="none" w:color="auto" w:sz="0" w:space="0"/>
              </w:rPr>
              <w:t>（四）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1"/>
                <w:szCs w:val="21"/>
                <w:bdr w:val="none" w:color="auto" w:sz="0" w:space="0"/>
              </w:rPr>
              <w:t>无法提供</w:t>
            </w:r>
          </w:p>
        </w:tc>
        <w:tc>
          <w:tcPr>
            <w:tcW w:w="321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1.本机关不掌握相关政府信息</w:t>
            </w:r>
          </w:p>
        </w:tc>
        <w:tc>
          <w:tcPr>
            <w:tcW w:w="690"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single" w:color="auto" w:sz="6" w:space="0"/>
              <w:left w:val="single" w:color="auto" w:sz="6" w:space="0"/>
              <w:bottom w:val="double" w:color="auto" w:sz="2" w:space="0"/>
              <w:right w:val="dashed"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60"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570"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single" w:color="auto" w:sz="6" w:space="0"/>
              <w:left w:val="single" w:color="auto" w:sz="6" w:space="0"/>
              <w:bottom w:val="outset" w:color="auto" w:sz="6" w:space="0"/>
              <w:right w:val="single" w:color="auto" w:sz="6" w:space="0"/>
            </w:tcBorders>
            <w:shd w:val="clear"/>
            <w:tcMar>
              <w:left w:w="60" w:type="dxa"/>
              <w:right w:w="60" w:type="dxa"/>
            </w:tcMar>
            <w:vAlign w:val="center"/>
          </w:tcPr>
          <w:p>
            <w:pPr>
              <w:rPr>
                <w:rFonts w:hint="eastAsia" w:ascii="仿宋_GB2312" w:hAnsi="仿宋_GB2312" w:eastAsia="仿宋_GB2312" w:cs="仿宋_GB2312"/>
                <w:sz w:val="24"/>
                <w:szCs w:val="24"/>
              </w:rPr>
            </w:pPr>
          </w:p>
        </w:tc>
        <w:tc>
          <w:tcPr>
            <w:tcW w:w="945" w:type="dxa"/>
            <w:vMerge w:val="continue"/>
            <w:tcBorders>
              <w:top w:val="single" w:color="auto" w:sz="6" w:space="0"/>
              <w:left w:val="single" w:color="auto" w:sz="6" w:space="0"/>
              <w:bottom w:val="outset" w:color="auto" w:sz="6" w:space="0"/>
              <w:right w:val="single" w:color="auto" w:sz="6" w:space="0"/>
            </w:tcBorders>
            <w:shd w:val="clear"/>
            <w:tcMar>
              <w:left w:w="60" w:type="dxa"/>
              <w:right w:w="60" w:type="dxa"/>
            </w:tcMar>
            <w:vAlign w:val="center"/>
          </w:tcPr>
          <w:p>
            <w:pPr>
              <w:rPr>
                <w:rFonts w:hint="eastAsia" w:ascii="仿宋_GB2312" w:hAnsi="仿宋_GB2312" w:eastAsia="仿宋_GB2312" w:cs="仿宋_GB2312"/>
                <w:sz w:val="24"/>
                <w:szCs w:val="24"/>
              </w:rPr>
            </w:pPr>
          </w:p>
        </w:tc>
        <w:tc>
          <w:tcPr>
            <w:tcW w:w="321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2.没有现成信息需要另行制作</w:t>
            </w:r>
          </w:p>
        </w:tc>
        <w:tc>
          <w:tcPr>
            <w:tcW w:w="690"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single" w:color="auto" w:sz="6" w:space="0"/>
              <w:left w:val="single" w:color="auto" w:sz="6" w:space="0"/>
              <w:bottom w:val="double" w:color="auto" w:sz="2" w:space="0"/>
              <w:right w:val="dashed"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60"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570"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single" w:color="auto" w:sz="6" w:space="0"/>
              <w:left w:val="single" w:color="auto" w:sz="6" w:space="0"/>
              <w:bottom w:val="outset" w:color="auto" w:sz="6" w:space="0"/>
              <w:right w:val="single" w:color="auto" w:sz="6" w:space="0"/>
            </w:tcBorders>
            <w:shd w:val="clear"/>
            <w:tcMar>
              <w:left w:w="60" w:type="dxa"/>
              <w:right w:w="60" w:type="dxa"/>
            </w:tcMar>
            <w:vAlign w:val="center"/>
          </w:tcPr>
          <w:p>
            <w:pPr>
              <w:rPr>
                <w:rFonts w:hint="eastAsia" w:ascii="仿宋_GB2312" w:hAnsi="仿宋_GB2312" w:eastAsia="仿宋_GB2312" w:cs="仿宋_GB2312"/>
                <w:sz w:val="24"/>
                <w:szCs w:val="24"/>
              </w:rPr>
            </w:pPr>
          </w:p>
        </w:tc>
        <w:tc>
          <w:tcPr>
            <w:tcW w:w="945" w:type="dxa"/>
            <w:vMerge w:val="continue"/>
            <w:tcBorders>
              <w:top w:val="single" w:color="auto" w:sz="6" w:space="0"/>
              <w:left w:val="single" w:color="auto" w:sz="6" w:space="0"/>
              <w:bottom w:val="outset" w:color="auto" w:sz="6" w:space="0"/>
              <w:right w:val="single" w:color="auto" w:sz="6" w:space="0"/>
            </w:tcBorders>
            <w:shd w:val="clear"/>
            <w:tcMar>
              <w:left w:w="60" w:type="dxa"/>
              <w:right w:w="60" w:type="dxa"/>
            </w:tcMar>
            <w:vAlign w:val="center"/>
          </w:tcPr>
          <w:p>
            <w:pPr>
              <w:rPr>
                <w:rFonts w:hint="eastAsia" w:ascii="仿宋_GB2312" w:hAnsi="仿宋_GB2312" w:eastAsia="仿宋_GB2312" w:cs="仿宋_GB2312"/>
                <w:sz w:val="24"/>
                <w:szCs w:val="24"/>
              </w:rPr>
            </w:pPr>
          </w:p>
        </w:tc>
        <w:tc>
          <w:tcPr>
            <w:tcW w:w="321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3.补正后申请内容仍不明确</w:t>
            </w:r>
          </w:p>
        </w:tc>
        <w:tc>
          <w:tcPr>
            <w:tcW w:w="690"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single" w:color="auto" w:sz="6" w:space="0"/>
              <w:left w:val="single" w:color="auto" w:sz="6" w:space="0"/>
              <w:bottom w:val="double" w:color="auto" w:sz="2" w:space="0"/>
              <w:right w:val="dashed"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60"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570"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single" w:color="auto" w:sz="6" w:space="0"/>
              <w:left w:val="single" w:color="auto" w:sz="6" w:space="0"/>
              <w:bottom w:val="outset" w:color="auto" w:sz="6" w:space="0"/>
              <w:right w:val="single" w:color="auto" w:sz="6" w:space="0"/>
            </w:tcBorders>
            <w:shd w:val="clear"/>
            <w:tcMar>
              <w:left w:w="60" w:type="dxa"/>
              <w:right w:w="60" w:type="dxa"/>
            </w:tcMar>
            <w:vAlign w:val="center"/>
          </w:tcPr>
          <w:p>
            <w:pPr>
              <w:rPr>
                <w:rFonts w:hint="eastAsia" w:ascii="仿宋_GB2312" w:hAnsi="仿宋_GB2312" w:eastAsia="仿宋_GB2312" w:cs="仿宋_GB2312"/>
                <w:sz w:val="24"/>
                <w:szCs w:val="24"/>
              </w:rPr>
            </w:pPr>
          </w:p>
        </w:tc>
        <w:tc>
          <w:tcPr>
            <w:tcW w:w="945" w:type="dxa"/>
            <w:vMerge w:val="restart"/>
            <w:tcBorders>
              <w:top w:val="single" w:color="auto" w:sz="6" w:space="0"/>
              <w:left w:val="single" w:color="auto" w:sz="6" w:space="0"/>
              <w:bottom w:val="outset"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1"/>
                <w:szCs w:val="21"/>
                <w:bdr w:val="none" w:color="auto" w:sz="0" w:space="0"/>
              </w:rPr>
              <w:t>（五）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1"/>
                <w:szCs w:val="21"/>
                <w:bdr w:val="none" w:color="auto" w:sz="0" w:space="0"/>
              </w:rPr>
              <w:t>不予处理</w:t>
            </w:r>
          </w:p>
        </w:tc>
        <w:tc>
          <w:tcPr>
            <w:tcW w:w="321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1.信访举报投诉类申请</w:t>
            </w:r>
          </w:p>
        </w:tc>
        <w:tc>
          <w:tcPr>
            <w:tcW w:w="690"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single" w:color="auto" w:sz="6" w:space="0"/>
              <w:left w:val="single" w:color="auto" w:sz="6" w:space="0"/>
              <w:bottom w:val="double" w:color="auto" w:sz="2" w:space="0"/>
              <w:right w:val="dashed"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60"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570"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single" w:color="auto" w:sz="6" w:space="0"/>
              <w:left w:val="single" w:color="auto" w:sz="6" w:space="0"/>
              <w:bottom w:val="outset" w:color="auto" w:sz="6" w:space="0"/>
              <w:right w:val="single" w:color="auto" w:sz="6" w:space="0"/>
            </w:tcBorders>
            <w:shd w:val="clear"/>
            <w:tcMar>
              <w:left w:w="60" w:type="dxa"/>
              <w:right w:w="60" w:type="dxa"/>
            </w:tcMar>
            <w:vAlign w:val="center"/>
          </w:tcPr>
          <w:p>
            <w:pPr>
              <w:rPr>
                <w:rFonts w:hint="eastAsia" w:ascii="仿宋_GB2312" w:hAnsi="仿宋_GB2312" w:eastAsia="仿宋_GB2312" w:cs="仿宋_GB2312"/>
                <w:sz w:val="24"/>
                <w:szCs w:val="24"/>
              </w:rPr>
            </w:pPr>
          </w:p>
        </w:tc>
        <w:tc>
          <w:tcPr>
            <w:tcW w:w="945" w:type="dxa"/>
            <w:vMerge w:val="continue"/>
            <w:tcBorders>
              <w:top w:val="single" w:color="auto" w:sz="6" w:space="0"/>
              <w:left w:val="single" w:color="auto" w:sz="6" w:space="0"/>
              <w:bottom w:val="outset" w:color="auto" w:sz="6" w:space="0"/>
              <w:right w:val="single" w:color="auto" w:sz="6" w:space="0"/>
            </w:tcBorders>
            <w:shd w:val="clear"/>
            <w:tcMar>
              <w:left w:w="60" w:type="dxa"/>
              <w:right w:w="60" w:type="dxa"/>
            </w:tcMar>
            <w:vAlign w:val="center"/>
          </w:tcPr>
          <w:p>
            <w:pPr>
              <w:rPr>
                <w:rFonts w:hint="eastAsia" w:ascii="仿宋_GB2312" w:hAnsi="仿宋_GB2312" w:eastAsia="仿宋_GB2312" w:cs="仿宋_GB2312"/>
                <w:sz w:val="24"/>
                <w:szCs w:val="24"/>
              </w:rPr>
            </w:pPr>
          </w:p>
        </w:tc>
        <w:tc>
          <w:tcPr>
            <w:tcW w:w="321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2.重复申请</w:t>
            </w:r>
          </w:p>
        </w:tc>
        <w:tc>
          <w:tcPr>
            <w:tcW w:w="690"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single" w:color="auto" w:sz="6" w:space="0"/>
              <w:left w:val="single" w:color="auto" w:sz="6" w:space="0"/>
              <w:bottom w:val="double" w:color="auto" w:sz="2" w:space="0"/>
              <w:right w:val="dashed"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60"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570"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single" w:color="auto" w:sz="6" w:space="0"/>
              <w:left w:val="single" w:color="auto" w:sz="6" w:space="0"/>
              <w:bottom w:val="outset" w:color="auto" w:sz="6" w:space="0"/>
              <w:right w:val="single" w:color="auto" w:sz="6" w:space="0"/>
            </w:tcBorders>
            <w:shd w:val="clear"/>
            <w:tcMar>
              <w:left w:w="60" w:type="dxa"/>
              <w:right w:w="60" w:type="dxa"/>
            </w:tcMar>
            <w:vAlign w:val="center"/>
          </w:tcPr>
          <w:p>
            <w:pPr>
              <w:rPr>
                <w:rFonts w:hint="eastAsia" w:ascii="仿宋_GB2312" w:hAnsi="仿宋_GB2312" w:eastAsia="仿宋_GB2312" w:cs="仿宋_GB2312"/>
                <w:sz w:val="24"/>
                <w:szCs w:val="24"/>
              </w:rPr>
            </w:pPr>
          </w:p>
        </w:tc>
        <w:tc>
          <w:tcPr>
            <w:tcW w:w="945" w:type="dxa"/>
            <w:vMerge w:val="continue"/>
            <w:tcBorders>
              <w:top w:val="single" w:color="auto" w:sz="6" w:space="0"/>
              <w:left w:val="single" w:color="auto" w:sz="6" w:space="0"/>
              <w:bottom w:val="outset" w:color="auto" w:sz="6" w:space="0"/>
              <w:right w:val="single" w:color="auto" w:sz="6" w:space="0"/>
            </w:tcBorders>
            <w:shd w:val="clear"/>
            <w:tcMar>
              <w:left w:w="60" w:type="dxa"/>
              <w:right w:w="60" w:type="dxa"/>
            </w:tcMar>
            <w:vAlign w:val="center"/>
          </w:tcPr>
          <w:p>
            <w:pPr>
              <w:rPr>
                <w:rFonts w:hint="eastAsia" w:ascii="仿宋_GB2312" w:hAnsi="仿宋_GB2312" w:eastAsia="仿宋_GB2312" w:cs="仿宋_GB2312"/>
                <w:sz w:val="24"/>
                <w:szCs w:val="24"/>
              </w:rPr>
            </w:pPr>
          </w:p>
        </w:tc>
        <w:tc>
          <w:tcPr>
            <w:tcW w:w="321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3.要求提供公开出版物</w:t>
            </w:r>
          </w:p>
        </w:tc>
        <w:tc>
          <w:tcPr>
            <w:tcW w:w="690"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single" w:color="auto" w:sz="6" w:space="0"/>
              <w:left w:val="single" w:color="auto" w:sz="6" w:space="0"/>
              <w:bottom w:val="double" w:color="auto" w:sz="2" w:space="0"/>
              <w:right w:val="dashed"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60"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570"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single" w:color="auto" w:sz="6" w:space="0"/>
              <w:left w:val="single" w:color="auto" w:sz="6" w:space="0"/>
              <w:bottom w:val="outset" w:color="auto" w:sz="6" w:space="0"/>
              <w:right w:val="single" w:color="auto" w:sz="6" w:space="0"/>
            </w:tcBorders>
            <w:shd w:val="clear"/>
            <w:tcMar>
              <w:left w:w="60" w:type="dxa"/>
              <w:right w:w="60" w:type="dxa"/>
            </w:tcMar>
            <w:vAlign w:val="center"/>
          </w:tcPr>
          <w:p>
            <w:pPr>
              <w:rPr>
                <w:rFonts w:hint="eastAsia" w:ascii="仿宋_GB2312" w:hAnsi="仿宋_GB2312" w:eastAsia="仿宋_GB2312" w:cs="仿宋_GB2312"/>
                <w:sz w:val="24"/>
                <w:szCs w:val="24"/>
              </w:rPr>
            </w:pPr>
          </w:p>
        </w:tc>
        <w:tc>
          <w:tcPr>
            <w:tcW w:w="945" w:type="dxa"/>
            <w:vMerge w:val="continue"/>
            <w:tcBorders>
              <w:top w:val="single" w:color="auto" w:sz="6" w:space="0"/>
              <w:left w:val="single" w:color="auto" w:sz="6" w:space="0"/>
              <w:bottom w:val="outset" w:color="auto" w:sz="6" w:space="0"/>
              <w:right w:val="single" w:color="auto" w:sz="6" w:space="0"/>
            </w:tcBorders>
            <w:shd w:val="clear"/>
            <w:tcMar>
              <w:left w:w="60" w:type="dxa"/>
              <w:right w:w="60" w:type="dxa"/>
            </w:tcMar>
            <w:vAlign w:val="center"/>
          </w:tcPr>
          <w:p>
            <w:pPr>
              <w:rPr>
                <w:rFonts w:hint="eastAsia" w:ascii="仿宋_GB2312" w:hAnsi="仿宋_GB2312" w:eastAsia="仿宋_GB2312" w:cs="仿宋_GB2312"/>
                <w:sz w:val="24"/>
                <w:szCs w:val="24"/>
              </w:rPr>
            </w:pPr>
          </w:p>
        </w:tc>
        <w:tc>
          <w:tcPr>
            <w:tcW w:w="321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4.无正当理由大量反复申请</w:t>
            </w:r>
          </w:p>
        </w:tc>
        <w:tc>
          <w:tcPr>
            <w:tcW w:w="690"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single" w:color="auto" w:sz="6" w:space="0"/>
              <w:left w:val="single" w:color="auto" w:sz="6" w:space="0"/>
              <w:bottom w:val="double" w:color="auto" w:sz="2" w:space="0"/>
              <w:right w:val="dashed"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60"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570"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80" w:hRule="atLeast"/>
          <w:jc w:val="center"/>
        </w:trPr>
        <w:tc>
          <w:tcPr>
            <w:tcW w:w="765" w:type="dxa"/>
            <w:vMerge w:val="continue"/>
            <w:tcBorders>
              <w:top w:val="single" w:color="auto" w:sz="6" w:space="0"/>
              <w:left w:val="single" w:color="auto" w:sz="6" w:space="0"/>
              <w:bottom w:val="outset" w:color="auto" w:sz="6" w:space="0"/>
              <w:right w:val="single" w:color="auto" w:sz="6" w:space="0"/>
            </w:tcBorders>
            <w:shd w:val="clear"/>
            <w:tcMar>
              <w:left w:w="60" w:type="dxa"/>
              <w:right w:w="60" w:type="dxa"/>
            </w:tcMar>
            <w:vAlign w:val="center"/>
          </w:tcPr>
          <w:p>
            <w:pPr>
              <w:rPr>
                <w:rFonts w:hint="eastAsia" w:ascii="仿宋_GB2312" w:hAnsi="仿宋_GB2312" w:eastAsia="仿宋_GB2312" w:cs="仿宋_GB2312"/>
                <w:sz w:val="24"/>
                <w:szCs w:val="24"/>
              </w:rPr>
            </w:pPr>
          </w:p>
        </w:tc>
        <w:tc>
          <w:tcPr>
            <w:tcW w:w="945" w:type="dxa"/>
            <w:vMerge w:val="continue"/>
            <w:tcBorders>
              <w:top w:val="single" w:color="auto" w:sz="6" w:space="0"/>
              <w:left w:val="single" w:color="auto" w:sz="6" w:space="0"/>
              <w:bottom w:val="outset" w:color="auto" w:sz="6" w:space="0"/>
              <w:right w:val="single" w:color="auto" w:sz="6" w:space="0"/>
            </w:tcBorders>
            <w:shd w:val="clear"/>
            <w:tcMar>
              <w:left w:w="60" w:type="dxa"/>
              <w:right w:w="60" w:type="dxa"/>
            </w:tcMar>
            <w:vAlign w:val="center"/>
          </w:tcPr>
          <w:p>
            <w:pPr>
              <w:rPr>
                <w:rFonts w:hint="eastAsia" w:ascii="仿宋_GB2312" w:hAnsi="仿宋_GB2312" w:eastAsia="仿宋_GB2312" w:cs="仿宋_GB2312"/>
                <w:sz w:val="24"/>
                <w:szCs w:val="24"/>
              </w:rPr>
            </w:pPr>
          </w:p>
        </w:tc>
        <w:tc>
          <w:tcPr>
            <w:tcW w:w="3210" w:type="dxa"/>
            <w:tcBorders>
              <w:top w:val="single" w:color="auto" w:sz="6" w:space="0"/>
              <w:left w:val="single" w:color="auto" w:sz="6" w:space="0"/>
              <w:bottom w:val="outset"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5.要求行政机关确认或重新出具已获取信息</w:t>
            </w:r>
          </w:p>
        </w:tc>
        <w:tc>
          <w:tcPr>
            <w:tcW w:w="690" w:type="dxa"/>
            <w:tcBorders>
              <w:top w:val="single" w:color="auto" w:sz="6" w:space="0"/>
              <w:left w:val="single" w:color="auto" w:sz="6" w:space="0"/>
              <w:bottom w:val="outset"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single" w:color="auto" w:sz="6" w:space="0"/>
              <w:left w:val="single" w:color="auto" w:sz="6" w:space="0"/>
              <w:bottom w:val="outset"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single" w:color="auto" w:sz="6" w:space="0"/>
              <w:left w:val="single" w:color="auto" w:sz="6" w:space="0"/>
              <w:bottom w:val="outset"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single" w:color="auto" w:sz="6" w:space="0"/>
              <w:left w:val="single" w:color="auto" w:sz="6" w:space="0"/>
              <w:bottom w:val="outset"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single" w:color="auto" w:sz="6" w:space="0"/>
              <w:left w:val="single" w:color="auto" w:sz="6" w:space="0"/>
              <w:bottom w:val="outset"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60" w:type="dxa"/>
            <w:tcBorders>
              <w:top w:val="single" w:color="auto" w:sz="6" w:space="0"/>
              <w:left w:val="single" w:color="auto" w:sz="6" w:space="0"/>
              <w:bottom w:val="outset"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570" w:type="dxa"/>
            <w:tcBorders>
              <w:top w:val="single" w:color="auto" w:sz="6" w:space="0"/>
              <w:left w:val="single" w:color="auto" w:sz="6" w:space="0"/>
              <w:bottom w:val="outset"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single" w:color="auto" w:sz="6" w:space="0"/>
              <w:left w:val="single" w:color="auto" w:sz="6" w:space="0"/>
              <w:bottom w:val="outset" w:color="auto" w:sz="6" w:space="0"/>
              <w:right w:val="single" w:color="auto" w:sz="6" w:space="0"/>
            </w:tcBorders>
            <w:shd w:val="clear"/>
            <w:tcMar>
              <w:left w:w="60" w:type="dxa"/>
              <w:right w:w="60" w:type="dxa"/>
            </w:tcMar>
            <w:vAlign w:val="center"/>
          </w:tcPr>
          <w:p>
            <w:pPr>
              <w:rPr>
                <w:rFonts w:hint="eastAsia" w:ascii="仿宋_GB2312" w:hAnsi="仿宋_GB2312" w:eastAsia="仿宋_GB2312" w:cs="仿宋_GB2312"/>
                <w:sz w:val="24"/>
                <w:szCs w:val="24"/>
              </w:rPr>
            </w:pPr>
          </w:p>
        </w:tc>
        <w:tc>
          <w:tcPr>
            <w:tcW w:w="945" w:type="dxa"/>
            <w:vMerge w:val="restart"/>
            <w:tcBorders>
              <w:top w:val="nil"/>
              <w:left w:val="single" w:color="auto" w:sz="6" w:space="0"/>
              <w:bottom w:val="outset"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1"/>
                <w:szCs w:val="21"/>
                <w:bdr w:val="none" w:color="auto" w:sz="0" w:space="0"/>
              </w:rPr>
              <w:t>（六）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1"/>
                <w:szCs w:val="21"/>
                <w:bdr w:val="none" w:color="auto" w:sz="0" w:space="0"/>
              </w:rPr>
              <w:t>其他处理</w:t>
            </w:r>
          </w:p>
        </w:tc>
        <w:tc>
          <w:tcPr>
            <w:tcW w:w="321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1.申请人无正当理由逾期不补正、行政机关不再处理其政府信息公开申请</w:t>
            </w:r>
          </w:p>
        </w:tc>
        <w:tc>
          <w:tcPr>
            <w:tcW w:w="690" w:type="dxa"/>
            <w:tcBorders>
              <w:top w:val="single" w:color="auto" w:sz="6" w:space="0"/>
              <w:left w:val="single" w:color="auto" w:sz="6" w:space="0"/>
              <w:bottom w:val="outset"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single" w:color="auto" w:sz="6" w:space="0"/>
              <w:left w:val="single" w:color="auto" w:sz="6" w:space="0"/>
              <w:bottom w:val="double" w:color="auto" w:sz="2" w:space="0"/>
              <w:right w:val="dashed"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60" w:type="dxa"/>
            <w:tcBorders>
              <w:top w:val="single" w:color="auto" w:sz="6" w:space="0"/>
              <w:left w:val="single" w:color="auto" w:sz="6" w:space="0"/>
              <w:bottom w:val="outset"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570" w:type="dxa"/>
            <w:tcBorders>
              <w:top w:val="single" w:color="auto" w:sz="6" w:space="0"/>
              <w:left w:val="single" w:color="auto" w:sz="6" w:space="0"/>
              <w:bottom w:val="outset"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single" w:color="auto" w:sz="6" w:space="0"/>
              <w:left w:val="single" w:color="auto" w:sz="6" w:space="0"/>
              <w:bottom w:val="outset" w:color="auto" w:sz="6" w:space="0"/>
              <w:right w:val="single" w:color="auto" w:sz="6" w:space="0"/>
            </w:tcBorders>
            <w:shd w:val="clear"/>
            <w:tcMar>
              <w:left w:w="60" w:type="dxa"/>
              <w:right w:w="60" w:type="dxa"/>
            </w:tcMar>
            <w:vAlign w:val="center"/>
          </w:tcPr>
          <w:p>
            <w:pPr>
              <w:rPr>
                <w:rFonts w:hint="eastAsia" w:ascii="仿宋_GB2312" w:hAnsi="仿宋_GB2312" w:eastAsia="仿宋_GB2312" w:cs="仿宋_GB2312"/>
                <w:sz w:val="24"/>
                <w:szCs w:val="24"/>
              </w:rPr>
            </w:pPr>
          </w:p>
        </w:tc>
        <w:tc>
          <w:tcPr>
            <w:tcW w:w="945" w:type="dxa"/>
            <w:vMerge w:val="continue"/>
            <w:tcBorders>
              <w:top w:val="nil"/>
              <w:left w:val="single" w:color="auto" w:sz="6" w:space="0"/>
              <w:bottom w:val="outset" w:color="auto" w:sz="6" w:space="0"/>
              <w:right w:val="single" w:color="auto" w:sz="6" w:space="0"/>
            </w:tcBorders>
            <w:shd w:val="clear"/>
            <w:tcMar>
              <w:left w:w="60" w:type="dxa"/>
              <w:right w:w="60" w:type="dxa"/>
            </w:tcMar>
            <w:vAlign w:val="center"/>
          </w:tcPr>
          <w:p>
            <w:pPr>
              <w:rPr>
                <w:rFonts w:hint="eastAsia" w:ascii="仿宋_GB2312" w:hAnsi="仿宋_GB2312" w:eastAsia="仿宋_GB2312" w:cs="仿宋_GB2312"/>
                <w:sz w:val="24"/>
                <w:szCs w:val="24"/>
              </w:rPr>
            </w:pPr>
          </w:p>
        </w:tc>
        <w:tc>
          <w:tcPr>
            <w:tcW w:w="321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2.申请人逾期未按收费通知要求缴纳费用、行政机关不再处理其政府信息公开申请</w:t>
            </w:r>
          </w:p>
        </w:tc>
        <w:tc>
          <w:tcPr>
            <w:tcW w:w="690" w:type="dxa"/>
            <w:tcBorders>
              <w:top w:val="single" w:color="auto" w:sz="6" w:space="0"/>
              <w:left w:val="single" w:color="auto" w:sz="6" w:space="0"/>
              <w:bottom w:val="outset"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single" w:color="auto" w:sz="6" w:space="0"/>
              <w:left w:val="single" w:color="auto" w:sz="6" w:space="0"/>
              <w:bottom w:val="double" w:color="auto" w:sz="2" w:space="0"/>
              <w:right w:val="dashed"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60" w:type="dxa"/>
            <w:tcBorders>
              <w:top w:val="single" w:color="auto" w:sz="6" w:space="0"/>
              <w:left w:val="single" w:color="auto" w:sz="6" w:space="0"/>
              <w:bottom w:val="outset"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570" w:type="dxa"/>
            <w:tcBorders>
              <w:top w:val="single" w:color="auto" w:sz="6" w:space="0"/>
              <w:left w:val="single" w:color="auto" w:sz="6" w:space="0"/>
              <w:bottom w:val="outset"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00" w:hRule="atLeast"/>
          <w:jc w:val="center"/>
        </w:trPr>
        <w:tc>
          <w:tcPr>
            <w:tcW w:w="765" w:type="dxa"/>
            <w:vMerge w:val="continue"/>
            <w:tcBorders>
              <w:top w:val="single" w:color="auto" w:sz="6" w:space="0"/>
              <w:left w:val="single" w:color="auto" w:sz="6" w:space="0"/>
              <w:bottom w:val="outset" w:color="auto" w:sz="6" w:space="0"/>
              <w:right w:val="single" w:color="auto" w:sz="6" w:space="0"/>
            </w:tcBorders>
            <w:shd w:val="clear"/>
            <w:tcMar>
              <w:left w:w="60" w:type="dxa"/>
              <w:right w:w="60" w:type="dxa"/>
            </w:tcMar>
            <w:vAlign w:val="center"/>
          </w:tcPr>
          <w:p>
            <w:pPr>
              <w:rPr>
                <w:rFonts w:hint="eastAsia" w:ascii="仿宋_GB2312" w:hAnsi="仿宋_GB2312" w:eastAsia="仿宋_GB2312" w:cs="仿宋_GB2312"/>
                <w:sz w:val="24"/>
                <w:szCs w:val="24"/>
              </w:rPr>
            </w:pPr>
          </w:p>
        </w:tc>
        <w:tc>
          <w:tcPr>
            <w:tcW w:w="945" w:type="dxa"/>
            <w:vMerge w:val="continue"/>
            <w:tcBorders>
              <w:top w:val="nil"/>
              <w:left w:val="single" w:color="auto" w:sz="6" w:space="0"/>
              <w:bottom w:val="outset" w:color="auto" w:sz="6" w:space="0"/>
              <w:right w:val="single" w:color="auto" w:sz="6" w:space="0"/>
            </w:tcBorders>
            <w:shd w:val="clear"/>
            <w:tcMar>
              <w:left w:w="60" w:type="dxa"/>
              <w:right w:w="60" w:type="dxa"/>
            </w:tcMar>
            <w:vAlign w:val="center"/>
          </w:tcPr>
          <w:p>
            <w:pPr>
              <w:rPr>
                <w:rFonts w:hint="eastAsia" w:ascii="仿宋_GB2312" w:hAnsi="仿宋_GB2312" w:eastAsia="仿宋_GB2312" w:cs="仿宋_GB2312"/>
                <w:sz w:val="24"/>
                <w:szCs w:val="24"/>
              </w:rPr>
            </w:pPr>
          </w:p>
        </w:tc>
        <w:tc>
          <w:tcPr>
            <w:tcW w:w="321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3.其他</w:t>
            </w:r>
          </w:p>
        </w:tc>
        <w:tc>
          <w:tcPr>
            <w:tcW w:w="690" w:type="dxa"/>
            <w:tcBorders>
              <w:top w:val="single" w:color="auto" w:sz="6" w:space="0"/>
              <w:left w:val="single" w:color="auto" w:sz="6" w:space="0"/>
              <w:bottom w:val="outset"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single" w:color="auto" w:sz="6" w:space="0"/>
              <w:left w:val="single" w:color="auto" w:sz="6" w:space="0"/>
              <w:bottom w:val="double" w:color="auto" w:sz="2" w:space="0"/>
              <w:right w:val="dashed"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60" w:type="dxa"/>
            <w:tcBorders>
              <w:top w:val="single" w:color="auto" w:sz="6" w:space="0"/>
              <w:left w:val="single" w:color="auto" w:sz="6" w:space="0"/>
              <w:bottom w:val="outset"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570" w:type="dxa"/>
            <w:tcBorders>
              <w:top w:val="single" w:color="auto" w:sz="6" w:space="0"/>
              <w:left w:val="single" w:color="auto" w:sz="6" w:space="0"/>
              <w:bottom w:val="outset"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single" w:color="auto" w:sz="6" w:space="0"/>
              <w:left w:val="single" w:color="auto" w:sz="6" w:space="0"/>
              <w:bottom w:val="outset" w:color="auto" w:sz="6" w:space="0"/>
              <w:right w:val="single" w:color="auto" w:sz="6" w:space="0"/>
            </w:tcBorders>
            <w:shd w:val="clear"/>
            <w:tcMar>
              <w:left w:w="60" w:type="dxa"/>
              <w:right w:w="60" w:type="dxa"/>
            </w:tcMar>
            <w:vAlign w:val="center"/>
          </w:tcPr>
          <w:p>
            <w:pPr>
              <w:rPr>
                <w:rFonts w:hint="eastAsia" w:ascii="仿宋_GB2312" w:hAnsi="仿宋_GB2312" w:eastAsia="仿宋_GB2312" w:cs="仿宋_GB2312"/>
                <w:sz w:val="24"/>
                <w:szCs w:val="24"/>
              </w:rPr>
            </w:pPr>
          </w:p>
        </w:tc>
        <w:tc>
          <w:tcPr>
            <w:tcW w:w="4155" w:type="dxa"/>
            <w:gridSpan w:val="2"/>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1"/>
                <w:szCs w:val="21"/>
                <w:bdr w:val="none" w:color="auto" w:sz="0" w:space="0"/>
              </w:rPr>
              <w:t>（七）总计</w:t>
            </w:r>
          </w:p>
        </w:tc>
        <w:tc>
          <w:tcPr>
            <w:tcW w:w="690" w:type="dxa"/>
            <w:tcBorders>
              <w:top w:val="double" w:color="auto" w:sz="2" w:space="0"/>
              <w:left w:val="double" w:color="auto" w:sz="2"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690" w:type="dxa"/>
            <w:tcBorders>
              <w:top w:val="single" w:color="auto" w:sz="6" w:space="0"/>
              <w:left w:val="single" w:color="auto" w:sz="6" w:space="0"/>
              <w:bottom w:val="dotted" w:color="auto" w:sz="6" w:space="0"/>
              <w:right w:val="double" w:color="auto" w:sz="2"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single" w:color="auto" w:sz="6" w:space="0"/>
              <w:left w:val="double" w:color="auto" w:sz="2" w:space="0"/>
              <w:bottom w:val="dashed"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6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570" w:type="dxa"/>
            <w:tcBorders>
              <w:top w:val="dotted" w:color="auto" w:sz="6" w:space="0"/>
              <w:left w:val="nil"/>
              <w:bottom w:val="single" w:color="auto" w:sz="6" w:space="0"/>
              <w:right w:val="double" w:color="auto" w:sz="2"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bookmarkStart w:id="0" w:name="_GoBack"/>
            <w:bookmarkEnd w:id="0"/>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4935" w:type="dxa"/>
            <w:gridSpan w:val="3"/>
            <w:tcBorders>
              <w:top w:val="nil"/>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1"/>
                <w:szCs w:val="21"/>
                <w:bdr w:val="none" w:color="auto" w:sz="0" w:space="0"/>
              </w:rPr>
              <w:t>四、结转下年度继续办理</w:t>
            </w:r>
          </w:p>
        </w:tc>
        <w:tc>
          <w:tcPr>
            <w:tcW w:w="690"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90"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660"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c>
          <w:tcPr>
            <w:tcW w:w="570"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仿宋_GB2312" w:hAnsi="仿宋_GB2312" w:eastAsia="仿宋_GB2312" w:cs="仿宋_GB2312"/>
          <w:i w:val="0"/>
          <w:iCs w:val="0"/>
          <w:caps w:val="0"/>
          <w:color w:val="333333"/>
          <w:spacing w:val="0"/>
          <w:sz w:val="24"/>
          <w:szCs w:val="24"/>
        </w:rPr>
      </w:pPr>
      <w:r>
        <w:rPr>
          <w:rFonts w:hint="eastAsia" w:ascii="仿宋_GB2312" w:hAnsi="仿宋_GB2312" w:eastAsia="仿宋_GB2312" w:cs="仿宋_GB2312"/>
          <w:i w:val="0"/>
          <w:iCs w:val="0"/>
          <w:caps w:val="0"/>
          <w:color w:val="333333"/>
          <w:spacing w:val="0"/>
          <w:sz w:val="24"/>
          <w:szCs w:val="24"/>
          <w:bdr w:val="none" w:color="auto" w:sz="0" w:space="0"/>
          <w:shd w:val="clear" w:fill="FFFFFF"/>
        </w:rPr>
        <w:t>四、政府信息公开行政复议、行政诉讼情况</w:t>
      </w: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64"/>
        <w:gridCol w:w="564"/>
        <w:gridCol w:w="564"/>
        <w:gridCol w:w="564"/>
        <w:gridCol w:w="574"/>
        <w:gridCol w:w="565"/>
        <w:gridCol w:w="565"/>
        <w:gridCol w:w="565"/>
        <w:gridCol w:w="565"/>
        <w:gridCol w:w="583"/>
        <w:gridCol w:w="565"/>
        <w:gridCol w:w="565"/>
        <w:gridCol w:w="565"/>
        <w:gridCol w:w="565"/>
        <w:gridCol w:w="583"/>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240" w:type="dxa"/>
            <w:gridSpan w:val="5"/>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1"/>
                <w:szCs w:val="21"/>
                <w:bdr w:val="none" w:color="auto" w:sz="0" w:space="0"/>
              </w:rPr>
              <w:t>行政复议</w:t>
            </w:r>
          </w:p>
        </w:tc>
        <w:tc>
          <w:tcPr>
            <w:tcW w:w="6510" w:type="dxa"/>
            <w:gridSpan w:val="10"/>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1"/>
                <w:szCs w:val="21"/>
                <w:bdr w:val="none" w:color="auto" w:sz="0" w:space="0"/>
              </w:rPr>
              <w:t>行政诉讼</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645"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1"/>
                <w:szCs w:val="21"/>
                <w:bdr w:val="none" w:color="auto" w:sz="0" w:space="0"/>
              </w:rPr>
              <w:t>结果维持</w:t>
            </w:r>
          </w:p>
        </w:tc>
        <w:tc>
          <w:tcPr>
            <w:tcW w:w="64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1"/>
                <w:szCs w:val="21"/>
                <w:bdr w:val="none" w:color="auto" w:sz="0" w:space="0"/>
              </w:rPr>
              <w:t>结果</w:t>
            </w:r>
            <w:r>
              <w:rPr>
                <w:rFonts w:hint="eastAsia" w:ascii="仿宋_GB2312" w:hAnsi="仿宋_GB2312" w:eastAsia="仿宋_GB2312" w:cs="仿宋_GB2312"/>
                <w:sz w:val="21"/>
                <w:szCs w:val="21"/>
                <w:bdr w:val="none" w:color="auto" w:sz="0" w:space="0"/>
              </w:rPr>
              <w:br w:type="textWrapping"/>
            </w:r>
            <w:r>
              <w:rPr>
                <w:rFonts w:hint="eastAsia" w:ascii="仿宋_GB2312" w:hAnsi="仿宋_GB2312" w:eastAsia="仿宋_GB2312" w:cs="仿宋_GB2312"/>
                <w:sz w:val="21"/>
                <w:szCs w:val="21"/>
                <w:bdr w:val="none" w:color="auto" w:sz="0" w:space="0"/>
              </w:rPr>
              <w:t>纠正</w:t>
            </w:r>
          </w:p>
        </w:tc>
        <w:tc>
          <w:tcPr>
            <w:tcW w:w="645"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1"/>
                <w:szCs w:val="21"/>
                <w:bdr w:val="none" w:color="auto" w:sz="0" w:space="0"/>
              </w:rPr>
              <w:t>其他</w:t>
            </w:r>
            <w:r>
              <w:rPr>
                <w:rFonts w:hint="eastAsia" w:ascii="仿宋_GB2312" w:hAnsi="仿宋_GB2312" w:eastAsia="仿宋_GB2312" w:cs="仿宋_GB2312"/>
                <w:sz w:val="21"/>
                <w:szCs w:val="21"/>
                <w:bdr w:val="none" w:color="auto" w:sz="0" w:space="0"/>
              </w:rPr>
              <w:br w:type="textWrapping"/>
            </w:r>
            <w:r>
              <w:rPr>
                <w:rFonts w:hint="eastAsia" w:ascii="仿宋_GB2312" w:hAnsi="仿宋_GB2312" w:eastAsia="仿宋_GB2312" w:cs="仿宋_GB2312"/>
                <w:sz w:val="21"/>
                <w:szCs w:val="21"/>
                <w:bdr w:val="none" w:color="auto" w:sz="0" w:space="0"/>
              </w:rPr>
              <w:t>结果</w:t>
            </w:r>
          </w:p>
        </w:tc>
        <w:tc>
          <w:tcPr>
            <w:tcW w:w="645"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1"/>
                <w:szCs w:val="21"/>
                <w:bdr w:val="none" w:color="auto" w:sz="0" w:space="0"/>
              </w:rPr>
              <w:t>尚未</w:t>
            </w:r>
            <w:r>
              <w:rPr>
                <w:rFonts w:hint="eastAsia" w:ascii="仿宋_GB2312" w:hAnsi="仿宋_GB2312" w:eastAsia="仿宋_GB2312" w:cs="仿宋_GB2312"/>
                <w:sz w:val="21"/>
                <w:szCs w:val="21"/>
                <w:bdr w:val="none" w:color="auto" w:sz="0" w:space="0"/>
              </w:rPr>
              <w:br w:type="textWrapping"/>
            </w:r>
            <w:r>
              <w:rPr>
                <w:rFonts w:hint="eastAsia" w:ascii="仿宋_GB2312" w:hAnsi="仿宋_GB2312" w:eastAsia="仿宋_GB2312" w:cs="仿宋_GB2312"/>
                <w:sz w:val="21"/>
                <w:szCs w:val="21"/>
                <w:bdr w:val="none" w:color="auto" w:sz="0" w:space="0"/>
              </w:rPr>
              <w:t>审结</w:t>
            </w:r>
          </w:p>
        </w:tc>
        <w:tc>
          <w:tcPr>
            <w:tcW w:w="645"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1"/>
                <w:szCs w:val="21"/>
                <w:bdr w:val="none" w:color="auto" w:sz="0" w:space="0"/>
              </w:rPr>
              <w:t>总计</w:t>
            </w:r>
          </w:p>
        </w:tc>
        <w:tc>
          <w:tcPr>
            <w:tcW w:w="3255" w:type="dxa"/>
            <w:gridSpan w:val="5"/>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1"/>
                <w:szCs w:val="21"/>
                <w:bdr w:val="none" w:color="auto" w:sz="0" w:space="0"/>
              </w:rPr>
              <w:t>未经复议直接起诉</w:t>
            </w:r>
          </w:p>
        </w:tc>
        <w:tc>
          <w:tcPr>
            <w:tcW w:w="3255" w:type="dxa"/>
            <w:gridSpan w:val="5"/>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1"/>
                <w:szCs w:val="21"/>
                <w:bdr w:val="none" w:color="auto" w:sz="0" w:space="0"/>
              </w:rPr>
              <w:t>复议后起诉</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64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仿宋_GB2312" w:hAnsi="仿宋_GB2312" w:eastAsia="仿宋_GB2312" w:cs="仿宋_GB2312"/>
                <w:sz w:val="24"/>
                <w:szCs w:val="24"/>
              </w:rPr>
            </w:pPr>
          </w:p>
        </w:tc>
        <w:tc>
          <w:tcPr>
            <w:tcW w:w="64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仿宋_GB2312" w:hAnsi="仿宋_GB2312" w:eastAsia="仿宋_GB2312" w:cs="仿宋_GB2312"/>
                <w:sz w:val="24"/>
                <w:szCs w:val="24"/>
              </w:rPr>
            </w:pPr>
          </w:p>
        </w:tc>
        <w:tc>
          <w:tcPr>
            <w:tcW w:w="645"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仿宋_GB2312" w:hAnsi="仿宋_GB2312" w:eastAsia="仿宋_GB2312" w:cs="仿宋_GB2312"/>
                <w:sz w:val="24"/>
                <w:szCs w:val="24"/>
              </w:rPr>
            </w:pPr>
          </w:p>
        </w:tc>
        <w:tc>
          <w:tcPr>
            <w:tcW w:w="645"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仿宋_GB2312" w:hAnsi="仿宋_GB2312" w:eastAsia="仿宋_GB2312" w:cs="仿宋_GB2312"/>
                <w:sz w:val="24"/>
                <w:szCs w:val="24"/>
              </w:rPr>
            </w:pPr>
          </w:p>
        </w:tc>
        <w:tc>
          <w:tcPr>
            <w:tcW w:w="645"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仿宋_GB2312" w:hAnsi="仿宋_GB2312" w:eastAsia="仿宋_GB2312" w:cs="仿宋_GB2312"/>
                <w:sz w:val="24"/>
                <w:szCs w:val="24"/>
              </w:rPr>
            </w:pPr>
          </w:p>
        </w:tc>
        <w:tc>
          <w:tcPr>
            <w:tcW w:w="64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1"/>
                <w:szCs w:val="21"/>
                <w:bdr w:val="none" w:color="auto" w:sz="0" w:space="0"/>
              </w:rPr>
              <w:t>结果</w:t>
            </w:r>
            <w:r>
              <w:rPr>
                <w:rFonts w:hint="eastAsia" w:ascii="仿宋_GB2312" w:hAnsi="仿宋_GB2312" w:eastAsia="仿宋_GB2312" w:cs="仿宋_GB2312"/>
                <w:sz w:val="21"/>
                <w:szCs w:val="21"/>
                <w:bdr w:val="none" w:color="auto" w:sz="0" w:space="0"/>
              </w:rPr>
              <w:br w:type="textWrapping"/>
            </w:r>
            <w:r>
              <w:rPr>
                <w:rFonts w:hint="eastAsia" w:ascii="仿宋_GB2312" w:hAnsi="仿宋_GB2312" w:eastAsia="仿宋_GB2312" w:cs="仿宋_GB2312"/>
                <w:sz w:val="21"/>
                <w:szCs w:val="21"/>
                <w:bdr w:val="none" w:color="auto" w:sz="0" w:space="0"/>
              </w:rPr>
              <w:t>维持</w:t>
            </w:r>
          </w:p>
        </w:tc>
        <w:tc>
          <w:tcPr>
            <w:tcW w:w="64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1"/>
                <w:szCs w:val="21"/>
                <w:bdr w:val="none" w:color="auto" w:sz="0" w:space="0"/>
              </w:rPr>
              <w:t>结果</w:t>
            </w:r>
            <w:r>
              <w:rPr>
                <w:rFonts w:hint="eastAsia" w:ascii="仿宋_GB2312" w:hAnsi="仿宋_GB2312" w:eastAsia="仿宋_GB2312" w:cs="仿宋_GB2312"/>
                <w:sz w:val="21"/>
                <w:szCs w:val="21"/>
                <w:bdr w:val="none" w:color="auto" w:sz="0" w:space="0"/>
              </w:rPr>
              <w:br w:type="textWrapping"/>
            </w:r>
            <w:r>
              <w:rPr>
                <w:rFonts w:hint="eastAsia" w:ascii="仿宋_GB2312" w:hAnsi="仿宋_GB2312" w:eastAsia="仿宋_GB2312" w:cs="仿宋_GB2312"/>
                <w:sz w:val="21"/>
                <w:szCs w:val="21"/>
                <w:bdr w:val="none" w:color="auto" w:sz="0" w:space="0"/>
              </w:rPr>
              <w:t>纠正</w:t>
            </w:r>
          </w:p>
        </w:tc>
        <w:tc>
          <w:tcPr>
            <w:tcW w:w="64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1"/>
                <w:szCs w:val="21"/>
                <w:bdr w:val="none" w:color="auto" w:sz="0" w:space="0"/>
              </w:rPr>
              <w:t>其他</w:t>
            </w:r>
            <w:r>
              <w:rPr>
                <w:rFonts w:hint="eastAsia" w:ascii="仿宋_GB2312" w:hAnsi="仿宋_GB2312" w:eastAsia="仿宋_GB2312" w:cs="仿宋_GB2312"/>
                <w:sz w:val="21"/>
                <w:szCs w:val="21"/>
                <w:bdr w:val="none" w:color="auto" w:sz="0" w:space="0"/>
              </w:rPr>
              <w:br w:type="textWrapping"/>
            </w:r>
            <w:r>
              <w:rPr>
                <w:rFonts w:hint="eastAsia" w:ascii="仿宋_GB2312" w:hAnsi="仿宋_GB2312" w:eastAsia="仿宋_GB2312" w:cs="仿宋_GB2312"/>
                <w:sz w:val="21"/>
                <w:szCs w:val="21"/>
                <w:bdr w:val="none" w:color="auto" w:sz="0" w:space="0"/>
              </w:rPr>
              <w:t>结果</w:t>
            </w:r>
          </w:p>
        </w:tc>
        <w:tc>
          <w:tcPr>
            <w:tcW w:w="64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1"/>
                <w:szCs w:val="21"/>
                <w:bdr w:val="none" w:color="auto" w:sz="0" w:space="0"/>
              </w:rPr>
              <w:t>尚未</w:t>
            </w:r>
            <w:r>
              <w:rPr>
                <w:rFonts w:hint="eastAsia" w:ascii="仿宋_GB2312" w:hAnsi="仿宋_GB2312" w:eastAsia="仿宋_GB2312" w:cs="仿宋_GB2312"/>
                <w:sz w:val="21"/>
                <w:szCs w:val="21"/>
                <w:bdr w:val="none" w:color="auto" w:sz="0" w:space="0"/>
              </w:rPr>
              <w:br w:type="textWrapping"/>
            </w:r>
            <w:r>
              <w:rPr>
                <w:rFonts w:hint="eastAsia" w:ascii="仿宋_GB2312" w:hAnsi="仿宋_GB2312" w:eastAsia="仿宋_GB2312" w:cs="仿宋_GB2312"/>
                <w:sz w:val="21"/>
                <w:szCs w:val="21"/>
                <w:bdr w:val="none" w:color="auto" w:sz="0" w:space="0"/>
              </w:rPr>
              <w:t>审结</w:t>
            </w:r>
          </w:p>
        </w:tc>
        <w:tc>
          <w:tcPr>
            <w:tcW w:w="64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1"/>
                <w:szCs w:val="21"/>
                <w:bdr w:val="none" w:color="auto" w:sz="0" w:space="0"/>
              </w:rPr>
              <w:t>总计</w:t>
            </w:r>
          </w:p>
        </w:tc>
        <w:tc>
          <w:tcPr>
            <w:tcW w:w="64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1"/>
                <w:szCs w:val="21"/>
                <w:bdr w:val="none" w:color="auto" w:sz="0" w:space="0"/>
              </w:rPr>
              <w:t>结果</w:t>
            </w:r>
            <w:r>
              <w:rPr>
                <w:rFonts w:hint="eastAsia" w:ascii="仿宋_GB2312" w:hAnsi="仿宋_GB2312" w:eastAsia="仿宋_GB2312" w:cs="仿宋_GB2312"/>
                <w:sz w:val="21"/>
                <w:szCs w:val="21"/>
                <w:bdr w:val="none" w:color="auto" w:sz="0" w:space="0"/>
              </w:rPr>
              <w:br w:type="textWrapping"/>
            </w:r>
            <w:r>
              <w:rPr>
                <w:rFonts w:hint="eastAsia" w:ascii="仿宋_GB2312" w:hAnsi="仿宋_GB2312" w:eastAsia="仿宋_GB2312" w:cs="仿宋_GB2312"/>
                <w:sz w:val="21"/>
                <w:szCs w:val="21"/>
                <w:bdr w:val="none" w:color="auto" w:sz="0" w:space="0"/>
              </w:rPr>
              <w:t>维持</w:t>
            </w:r>
          </w:p>
        </w:tc>
        <w:tc>
          <w:tcPr>
            <w:tcW w:w="64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1"/>
                <w:szCs w:val="21"/>
                <w:bdr w:val="none" w:color="auto" w:sz="0" w:space="0"/>
              </w:rPr>
              <w:t>结果</w:t>
            </w:r>
            <w:r>
              <w:rPr>
                <w:rFonts w:hint="eastAsia" w:ascii="仿宋_GB2312" w:hAnsi="仿宋_GB2312" w:eastAsia="仿宋_GB2312" w:cs="仿宋_GB2312"/>
                <w:sz w:val="21"/>
                <w:szCs w:val="21"/>
                <w:bdr w:val="none" w:color="auto" w:sz="0" w:space="0"/>
              </w:rPr>
              <w:br w:type="textWrapping"/>
            </w:r>
            <w:r>
              <w:rPr>
                <w:rFonts w:hint="eastAsia" w:ascii="仿宋_GB2312" w:hAnsi="仿宋_GB2312" w:eastAsia="仿宋_GB2312" w:cs="仿宋_GB2312"/>
                <w:sz w:val="21"/>
                <w:szCs w:val="21"/>
                <w:bdr w:val="none" w:color="auto" w:sz="0" w:space="0"/>
              </w:rPr>
              <w:t>纠正</w:t>
            </w:r>
          </w:p>
        </w:tc>
        <w:tc>
          <w:tcPr>
            <w:tcW w:w="64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1"/>
                <w:szCs w:val="21"/>
                <w:bdr w:val="none" w:color="auto" w:sz="0" w:space="0"/>
              </w:rPr>
              <w:t>其他</w:t>
            </w:r>
            <w:r>
              <w:rPr>
                <w:rFonts w:hint="eastAsia" w:ascii="仿宋_GB2312" w:hAnsi="仿宋_GB2312" w:eastAsia="仿宋_GB2312" w:cs="仿宋_GB2312"/>
                <w:sz w:val="21"/>
                <w:szCs w:val="21"/>
                <w:bdr w:val="none" w:color="auto" w:sz="0" w:space="0"/>
              </w:rPr>
              <w:br w:type="textWrapping"/>
            </w:r>
            <w:r>
              <w:rPr>
                <w:rFonts w:hint="eastAsia" w:ascii="仿宋_GB2312" w:hAnsi="仿宋_GB2312" w:eastAsia="仿宋_GB2312" w:cs="仿宋_GB2312"/>
                <w:sz w:val="21"/>
                <w:szCs w:val="21"/>
                <w:bdr w:val="none" w:color="auto" w:sz="0" w:space="0"/>
              </w:rPr>
              <w:t>结果</w:t>
            </w:r>
          </w:p>
        </w:tc>
        <w:tc>
          <w:tcPr>
            <w:tcW w:w="64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1"/>
                <w:szCs w:val="21"/>
                <w:bdr w:val="none" w:color="auto" w:sz="0" w:space="0"/>
              </w:rPr>
              <w:t>尚未</w:t>
            </w:r>
            <w:r>
              <w:rPr>
                <w:rFonts w:hint="eastAsia" w:ascii="仿宋_GB2312" w:hAnsi="仿宋_GB2312" w:eastAsia="仿宋_GB2312" w:cs="仿宋_GB2312"/>
                <w:sz w:val="21"/>
                <w:szCs w:val="21"/>
                <w:bdr w:val="none" w:color="auto" w:sz="0" w:space="0"/>
              </w:rPr>
              <w:br w:type="textWrapping"/>
            </w:r>
            <w:r>
              <w:rPr>
                <w:rFonts w:hint="eastAsia" w:ascii="仿宋_GB2312" w:hAnsi="仿宋_GB2312" w:eastAsia="仿宋_GB2312" w:cs="仿宋_GB2312"/>
                <w:sz w:val="21"/>
                <w:szCs w:val="21"/>
                <w:bdr w:val="none" w:color="auto" w:sz="0" w:space="0"/>
              </w:rPr>
              <w:t>审结</w:t>
            </w:r>
          </w:p>
        </w:tc>
        <w:tc>
          <w:tcPr>
            <w:tcW w:w="64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1"/>
                <w:szCs w:val="21"/>
                <w:bdr w:val="none" w:color="auto" w:sz="0" w:space="0"/>
              </w:rPr>
              <w:t>总计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75" w:hRule="atLeast"/>
          <w:jc w:val="center"/>
        </w:trPr>
        <w:tc>
          <w:tcPr>
            <w:tcW w:w="64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1"/>
                <w:szCs w:val="21"/>
                <w:bdr w:val="none" w:color="auto" w:sz="0" w:space="0"/>
              </w:rPr>
              <w:t> </w:t>
            </w:r>
            <w:r>
              <w:rPr>
                <w:rFonts w:hint="eastAsia" w:ascii="仿宋_GB2312" w:hAnsi="仿宋_GB2312" w:eastAsia="仿宋_GB2312" w:cs="仿宋_GB2312"/>
                <w:sz w:val="24"/>
                <w:szCs w:val="24"/>
                <w:bdr w:val="none" w:color="auto" w:sz="0" w:space="0"/>
              </w:rPr>
              <w:t>0</w:t>
            </w:r>
          </w:p>
        </w:tc>
        <w:tc>
          <w:tcPr>
            <w:tcW w:w="64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1"/>
                <w:szCs w:val="21"/>
                <w:bdr w:val="none" w:color="auto" w:sz="0" w:space="0"/>
              </w:rPr>
              <w:t> </w:t>
            </w:r>
            <w:r>
              <w:rPr>
                <w:rFonts w:hint="eastAsia" w:ascii="仿宋_GB2312" w:hAnsi="仿宋_GB2312" w:eastAsia="仿宋_GB2312" w:cs="仿宋_GB2312"/>
                <w:sz w:val="24"/>
                <w:szCs w:val="24"/>
                <w:bdr w:val="none" w:color="auto" w:sz="0" w:space="0"/>
              </w:rPr>
              <w:t>0</w:t>
            </w:r>
          </w:p>
        </w:tc>
        <w:tc>
          <w:tcPr>
            <w:tcW w:w="64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1"/>
                <w:szCs w:val="21"/>
                <w:bdr w:val="none" w:color="auto" w:sz="0" w:space="0"/>
              </w:rPr>
              <w:t> </w:t>
            </w:r>
            <w:r>
              <w:rPr>
                <w:rFonts w:hint="eastAsia" w:ascii="仿宋_GB2312" w:hAnsi="仿宋_GB2312" w:eastAsia="仿宋_GB2312" w:cs="仿宋_GB2312"/>
                <w:sz w:val="24"/>
                <w:szCs w:val="24"/>
                <w:bdr w:val="none" w:color="auto" w:sz="0" w:space="0"/>
              </w:rPr>
              <w:t>0</w:t>
            </w:r>
          </w:p>
        </w:tc>
        <w:tc>
          <w:tcPr>
            <w:tcW w:w="64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1"/>
                <w:szCs w:val="21"/>
                <w:bdr w:val="none" w:color="auto" w:sz="0" w:space="0"/>
              </w:rPr>
              <w:t> </w:t>
            </w:r>
            <w:r>
              <w:rPr>
                <w:rFonts w:hint="eastAsia" w:ascii="仿宋_GB2312" w:hAnsi="仿宋_GB2312" w:eastAsia="仿宋_GB2312" w:cs="仿宋_GB2312"/>
                <w:sz w:val="24"/>
                <w:szCs w:val="24"/>
                <w:bdr w:val="none" w:color="auto" w:sz="0" w:space="0"/>
              </w:rPr>
              <w:t>0</w:t>
            </w:r>
          </w:p>
        </w:tc>
        <w:tc>
          <w:tcPr>
            <w:tcW w:w="64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1"/>
                <w:szCs w:val="21"/>
                <w:bdr w:val="none" w:color="auto" w:sz="0" w:space="0"/>
              </w:rPr>
              <w:t> </w:t>
            </w:r>
            <w:r>
              <w:rPr>
                <w:rFonts w:hint="eastAsia" w:ascii="仿宋_GB2312" w:hAnsi="仿宋_GB2312" w:eastAsia="仿宋_GB2312" w:cs="仿宋_GB2312"/>
                <w:sz w:val="24"/>
                <w:szCs w:val="24"/>
                <w:bdr w:val="none" w:color="auto" w:sz="0" w:space="0"/>
              </w:rPr>
              <w:t>0</w:t>
            </w:r>
          </w:p>
        </w:tc>
        <w:tc>
          <w:tcPr>
            <w:tcW w:w="64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1"/>
                <w:szCs w:val="21"/>
                <w:bdr w:val="none" w:color="auto" w:sz="0" w:space="0"/>
              </w:rPr>
              <w:t> </w:t>
            </w:r>
            <w:r>
              <w:rPr>
                <w:rFonts w:hint="eastAsia" w:ascii="仿宋_GB2312" w:hAnsi="仿宋_GB2312" w:eastAsia="仿宋_GB2312" w:cs="仿宋_GB2312"/>
                <w:sz w:val="24"/>
                <w:szCs w:val="24"/>
                <w:bdr w:val="none" w:color="auto" w:sz="0" w:space="0"/>
              </w:rPr>
              <w:t>0</w:t>
            </w:r>
          </w:p>
        </w:tc>
        <w:tc>
          <w:tcPr>
            <w:tcW w:w="64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1"/>
                <w:szCs w:val="21"/>
                <w:bdr w:val="none" w:color="auto" w:sz="0" w:space="0"/>
              </w:rPr>
              <w:t> </w:t>
            </w:r>
            <w:r>
              <w:rPr>
                <w:rFonts w:hint="eastAsia" w:ascii="仿宋_GB2312" w:hAnsi="仿宋_GB2312" w:eastAsia="仿宋_GB2312" w:cs="仿宋_GB2312"/>
                <w:sz w:val="24"/>
                <w:szCs w:val="24"/>
                <w:bdr w:val="none" w:color="auto" w:sz="0" w:space="0"/>
              </w:rPr>
              <w:t>0</w:t>
            </w:r>
          </w:p>
        </w:tc>
        <w:tc>
          <w:tcPr>
            <w:tcW w:w="64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1"/>
                <w:szCs w:val="21"/>
                <w:bdr w:val="none" w:color="auto" w:sz="0" w:space="0"/>
              </w:rPr>
              <w:t> </w:t>
            </w:r>
            <w:r>
              <w:rPr>
                <w:rFonts w:hint="eastAsia" w:ascii="仿宋_GB2312" w:hAnsi="仿宋_GB2312" w:eastAsia="仿宋_GB2312" w:cs="仿宋_GB2312"/>
                <w:sz w:val="24"/>
                <w:szCs w:val="24"/>
                <w:bdr w:val="none" w:color="auto" w:sz="0" w:space="0"/>
              </w:rPr>
              <w:t>0</w:t>
            </w:r>
          </w:p>
        </w:tc>
        <w:tc>
          <w:tcPr>
            <w:tcW w:w="64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1"/>
                <w:szCs w:val="21"/>
                <w:bdr w:val="none" w:color="auto" w:sz="0" w:space="0"/>
              </w:rPr>
              <w:t> </w:t>
            </w:r>
            <w:r>
              <w:rPr>
                <w:rFonts w:hint="eastAsia" w:ascii="仿宋_GB2312" w:hAnsi="仿宋_GB2312" w:eastAsia="仿宋_GB2312" w:cs="仿宋_GB2312"/>
                <w:sz w:val="24"/>
                <w:szCs w:val="24"/>
                <w:bdr w:val="none" w:color="auto" w:sz="0" w:space="0"/>
              </w:rPr>
              <w:t>0</w:t>
            </w:r>
          </w:p>
        </w:tc>
        <w:tc>
          <w:tcPr>
            <w:tcW w:w="64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1"/>
                <w:szCs w:val="21"/>
                <w:bdr w:val="none" w:color="auto" w:sz="0" w:space="0"/>
              </w:rPr>
              <w:t> </w:t>
            </w:r>
            <w:r>
              <w:rPr>
                <w:rFonts w:hint="eastAsia" w:ascii="仿宋_GB2312" w:hAnsi="仿宋_GB2312" w:eastAsia="仿宋_GB2312" w:cs="仿宋_GB2312"/>
                <w:sz w:val="24"/>
                <w:szCs w:val="24"/>
                <w:bdr w:val="none" w:color="auto" w:sz="0" w:space="0"/>
              </w:rPr>
              <w:t>0</w:t>
            </w:r>
          </w:p>
        </w:tc>
        <w:tc>
          <w:tcPr>
            <w:tcW w:w="64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1"/>
                <w:szCs w:val="21"/>
                <w:bdr w:val="none" w:color="auto" w:sz="0" w:space="0"/>
              </w:rPr>
              <w:t> </w:t>
            </w:r>
            <w:r>
              <w:rPr>
                <w:rFonts w:hint="eastAsia" w:ascii="仿宋_GB2312" w:hAnsi="仿宋_GB2312" w:eastAsia="仿宋_GB2312" w:cs="仿宋_GB2312"/>
                <w:sz w:val="24"/>
                <w:szCs w:val="24"/>
                <w:bdr w:val="none" w:color="auto" w:sz="0" w:space="0"/>
              </w:rPr>
              <w:t>0</w:t>
            </w:r>
          </w:p>
        </w:tc>
        <w:tc>
          <w:tcPr>
            <w:tcW w:w="64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1"/>
                <w:szCs w:val="21"/>
                <w:bdr w:val="none" w:color="auto" w:sz="0" w:space="0"/>
              </w:rPr>
              <w:t> </w:t>
            </w:r>
            <w:r>
              <w:rPr>
                <w:rFonts w:hint="eastAsia" w:ascii="仿宋_GB2312" w:hAnsi="仿宋_GB2312" w:eastAsia="仿宋_GB2312" w:cs="仿宋_GB2312"/>
                <w:sz w:val="24"/>
                <w:szCs w:val="24"/>
                <w:bdr w:val="none" w:color="auto" w:sz="0" w:space="0"/>
              </w:rPr>
              <w:t>0</w:t>
            </w:r>
          </w:p>
        </w:tc>
        <w:tc>
          <w:tcPr>
            <w:tcW w:w="64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1"/>
                <w:szCs w:val="21"/>
                <w:bdr w:val="none" w:color="auto" w:sz="0" w:space="0"/>
              </w:rPr>
              <w:t> </w:t>
            </w:r>
            <w:r>
              <w:rPr>
                <w:rFonts w:hint="eastAsia" w:ascii="仿宋_GB2312" w:hAnsi="仿宋_GB2312" w:eastAsia="仿宋_GB2312" w:cs="仿宋_GB2312"/>
                <w:sz w:val="24"/>
                <w:szCs w:val="24"/>
                <w:bdr w:val="none" w:color="auto" w:sz="0" w:space="0"/>
              </w:rPr>
              <w:t>0</w:t>
            </w:r>
          </w:p>
        </w:tc>
        <w:tc>
          <w:tcPr>
            <w:tcW w:w="64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1"/>
                <w:szCs w:val="21"/>
                <w:bdr w:val="none" w:color="auto" w:sz="0" w:space="0"/>
              </w:rPr>
              <w:t> </w:t>
            </w:r>
            <w:r>
              <w:rPr>
                <w:rFonts w:hint="eastAsia" w:ascii="仿宋_GB2312" w:hAnsi="仿宋_GB2312" w:eastAsia="仿宋_GB2312" w:cs="仿宋_GB2312"/>
                <w:sz w:val="24"/>
                <w:szCs w:val="24"/>
                <w:bdr w:val="none" w:color="auto" w:sz="0" w:space="0"/>
              </w:rPr>
              <w:t>0</w:t>
            </w:r>
          </w:p>
        </w:tc>
        <w:tc>
          <w:tcPr>
            <w:tcW w:w="64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1"/>
                <w:szCs w:val="21"/>
                <w:bdr w:val="none" w:color="auto" w:sz="0" w:space="0"/>
              </w:rPr>
              <w:t> </w:t>
            </w:r>
            <w:r>
              <w:rPr>
                <w:rFonts w:hint="eastAsia" w:ascii="仿宋_GB2312" w:hAnsi="仿宋_GB2312" w:eastAsia="仿宋_GB2312" w:cs="仿宋_GB2312"/>
                <w:sz w:val="24"/>
                <w:szCs w:val="24"/>
                <w:bdr w:val="none" w:color="auto" w:sz="0" w:space="0"/>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仿宋_GB2312" w:hAnsi="仿宋_GB2312" w:eastAsia="仿宋_GB2312" w:cs="仿宋_GB2312"/>
          <w:i w:val="0"/>
          <w:iCs w:val="0"/>
          <w:caps w:val="0"/>
          <w:color w:val="333333"/>
          <w:spacing w:val="0"/>
          <w:sz w:val="24"/>
          <w:szCs w:val="24"/>
        </w:rPr>
      </w:pPr>
      <w:r>
        <w:rPr>
          <w:rFonts w:hint="eastAsia" w:ascii="仿宋_GB2312" w:hAnsi="仿宋_GB2312" w:eastAsia="仿宋_GB2312" w:cs="仿宋_GB2312"/>
          <w:i w:val="0"/>
          <w:iCs w:val="0"/>
          <w:caps w:val="0"/>
          <w:color w:val="333333"/>
          <w:spacing w:val="0"/>
          <w:sz w:val="24"/>
          <w:szCs w:val="24"/>
          <w:bdr w:val="none" w:color="auto" w:sz="0" w:space="0"/>
          <w:shd w:val="clear" w:fill="FFFFFF"/>
        </w:rPr>
        <w:t>五、存在的主要问题及改进情况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仿宋_GB2312" w:hAnsi="仿宋_GB2312" w:eastAsia="仿宋_GB2312" w:cs="仿宋_GB2312"/>
          <w:i w:val="0"/>
          <w:iCs w:val="0"/>
          <w:caps w:val="0"/>
          <w:color w:val="333333"/>
          <w:spacing w:val="0"/>
          <w:sz w:val="24"/>
          <w:szCs w:val="24"/>
        </w:rPr>
      </w:pPr>
      <w:r>
        <w:rPr>
          <w:rFonts w:hint="eastAsia" w:ascii="仿宋_GB2312" w:hAnsi="仿宋_GB2312" w:eastAsia="仿宋_GB2312" w:cs="仿宋_GB2312"/>
          <w:i w:val="0"/>
          <w:iCs w:val="0"/>
          <w:caps w:val="0"/>
          <w:color w:val="333333"/>
          <w:spacing w:val="0"/>
          <w:sz w:val="24"/>
          <w:szCs w:val="24"/>
          <w:bdr w:val="none" w:color="auto" w:sz="0" w:space="0"/>
          <w:shd w:val="clear" w:fill="FFFFFF"/>
        </w:rPr>
        <w:t>我局政府信息公开工作虽然取得了一定成效，但在公开的内容、规范性等方面还有待提高。个别领域主动公开得不够深入和全面。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15"/>
        <w:jc w:val="left"/>
        <w:rPr>
          <w:rFonts w:hint="eastAsia" w:ascii="仿宋_GB2312" w:hAnsi="仿宋_GB2312" w:eastAsia="仿宋_GB2312" w:cs="仿宋_GB2312"/>
          <w:i w:val="0"/>
          <w:iCs w:val="0"/>
          <w:caps w:val="0"/>
          <w:color w:val="333333"/>
          <w:spacing w:val="0"/>
          <w:sz w:val="24"/>
          <w:szCs w:val="24"/>
        </w:rPr>
      </w:pPr>
      <w:r>
        <w:rPr>
          <w:rFonts w:hint="eastAsia" w:ascii="仿宋_GB2312" w:hAnsi="仿宋_GB2312" w:eastAsia="仿宋_GB2312" w:cs="仿宋_GB2312"/>
          <w:i w:val="0"/>
          <w:iCs w:val="0"/>
          <w:caps w:val="0"/>
          <w:color w:val="070707"/>
          <w:spacing w:val="0"/>
          <w:sz w:val="24"/>
          <w:szCs w:val="24"/>
          <w:bdr w:val="none" w:color="auto" w:sz="0" w:space="0"/>
          <w:shd w:val="clear" w:fill="FFFFFF"/>
        </w:rPr>
        <w:t>下一步，为进一步做好政府信息公开工作，</w:t>
      </w:r>
      <w:r>
        <w:rPr>
          <w:rStyle w:val="6"/>
          <w:rFonts w:hint="eastAsia" w:ascii="仿宋_GB2312" w:hAnsi="仿宋_GB2312" w:eastAsia="仿宋_GB2312" w:cs="仿宋_GB2312"/>
          <w:i w:val="0"/>
          <w:iCs w:val="0"/>
          <w:caps w:val="0"/>
          <w:color w:val="070707"/>
          <w:spacing w:val="0"/>
          <w:sz w:val="24"/>
          <w:szCs w:val="24"/>
          <w:bdr w:val="none" w:color="auto" w:sz="0" w:space="0"/>
          <w:shd w:val="clear" w:fill="FFFFFF"/>
        </w:rPr>
        <w:t>一是</w:t>
      </w:r>
      <w:r>
        <w:rPr>
          <w:rFonts w:hint="eastAsia" w:ascii="仿宋_GB2312" w:hAnsi="仿宋_GB2312" w:eastAsia="仿宋_GB2312" w:cs="仿宋_GB2312"/>
          <w:i w:val="0"/>
          <w:iCs w:val="0"/>
          <w:caps w:val="0"/>
          <w:color w:val="070707"/>
          <w:spacing w:val="0"/>
          <w:sz w:val="24"/>
          <w:szCs w:val="24"/>
          <w:bdr w:val="none" w:color="auto" w:sz="0" w:space="0"/>
          <w:shd w:val="clear" w:fill="FFFFFF"/>
        </w:rPr>
        <w:t>进一步拓宽公开内容。围绕市委市政府工作安排部署，综合运用新闻发布、图文解读等多种措施，发布政策、做好解读、回应关切；</w:t>
      </w:r>
      <w:r>
        <w:rPr>
          <w:rStyle w:val="6"/>
          <w:rFonts w:hint="eastAsia" w:ascii="仿宋_GB2312" w:hAnsi="仿宋_GB2312" w:eastAsia="仿宋_GB2312" w:cs="仿宋_GB2312"/>
          <w:i w:val="0"/>
          <w:iCs w:val="0"/>
          <w:caps w:val="0"/>
          <w:color w:val="070707"/>
          <w:spacing w:val="0"/>
          <w:sz w:val="24"/>
          <w:szCs w:val="24"/>
          <w:bdr w:val="none" w:color="auto" w:sz="0" w:space="0"/>
          <w:shd w:val="clear" w:fill="FFFFFF"/>
        </w:rPr>
        <w:t>二是</w:t>
      </w:r>
      <w:r>
        <w:rPr>
          <w:rFonts w:hint="eastAsia" w:ascii="仿宋_GB2312" w:hAnsi="仿宋_GB2312" w:eastAsia="仿宋_GB2312" w:cs="仿宋_GB2312"/>
          <w:i w:val="0"/>
          <w:iCs w:val="0"/>
          <w:caps w:val="0"/>
          <w:color w:val="070707"/>
          <w:spacing w:val="0"/>
          <w:sz w:val="24"/>
          <w:szCs w:val="24"/>
          <w:bdr w:val="none" w:color="auto" w:sz="0" w:space="0"/>
          <w:shd w:val="clear" w:fill="FFFFFF"/>
        </w:rPr>
        <w:t>进一步加大学习教育工作力度，不断提升和加强工作人员政府信息公开工作意识，掌握政府信息公开所需的必备知识。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15"/>
        <w:jc w:val="left"/>
        <w:rPr>
          <w:rFonts w:hint="eastAsia" w:ascii="仿宋_GB2312" w:hAnsi="仿宋_GB2312" w:eastAsia="仿宋_GB2312" w:cs="仿宋_GB2312"/>
          <w:i w:val="0"/>
          <w:iCs w:val="0"/>
          <w:caps w:val="0"/>
          <w:color w:val="333333"/>
          <w:spacing w:val="0"/>
          <w:sz w:val="24"/>
          <w:szCs w:val="24"/>
        </w:rPr>
      </w:pPr>
      <w:r>
        <w:rPr>
          <w:rFonts w:hint="eastAsia" w:ascii="仿宋_GB2312" w:hAnsi="仿宋_GB2312" w:eastAsia="仿宋_GB2312" w:cs="仿宋_GB2312"/>
          <w:i w:val="0"/>
          <w:iCs w:val="0"/>
          <w:caps w:val="0"/>
          <w:color w:val="070707"/>
          <w:spacing w:val="0"/>
          <w:sz w:val="31"/>
          <w:szCs w:val="31"/>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B03889"/>
    <w:rsid w:val="06B038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2022-02-25T03:14:00Z</dcterms:created>
  <dc:creator>李昊</dc:creator>
  <cp:lastModifiedBy>李昊</cp:lastModifiedBy>
  <dcterms:modified xsi:type="dcterms:W3CDTF">2022-02-25T03:17:55Z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