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60"/>
        </w:tabs>
        <w:kinsoku w:val="0"/>
        <w:overflowPunct w:val="0"/>
        <w:spacing w:line="799" w:lineRule="exact"/>
        <w:ind w:left="1600"/>
        <w:rPr>
          <w:rFonts w:hint="eastAsia" w:ascii="黑体" w:hAnsi="黑体" w:eastAsia="黑体" w:cs="黑体"/>
          <w:sz w:val="48"/>
        </w:rPr>
        <w:sectPr>
          <w:footerReference r:id="rId3" w:type="default"/>
          <w:pgSz w:w="11906" w:h="16840"/>
          <w:pgMar w:top="120" w:right="1380" w:bottom="1140" w:left="0" w:header="0" w:footer="954" w:gutter="0"/>
          <w:lnNumType w:countBy="0" w:distance="360"/>
          <w:cols w:space="720" w:num="1"/>
        </w:sectPr>
      </w:pPr>
      <w: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3286760</wp:posOffset>
                </wp:positionV>
                <wp:extent cx="5496560" cy="16129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496560" cy="1612900"/>
                        </a:xfrm>
                        <a:prstGeom prst="rect">
                          <a:avLst/>
                        </a:prstGeom>
                        <a:noFill/>
                        <a:ln>
                          <a:noFill/>
                        </a:ln>
                      </wps:spPr>
                      <wps:txbx>
                        <w:txbxContent>
                          <w:p>
                            <w:pPr>
                              <w:pStyle w:val="2"/>
                              <w:ind w:left="0"/>
                              <w:rPr>
                                <w:b/>
                              </w:rPr>
                            </w:pPr>
                            <w:bookmarkStart w:id="9" w:name="_Toc460484035"/>
                            <w:bookmarkStart w:id="10" w:name="_Toc49239079"/>
                            <w:bookmarkStart w:id="11" w:name="_Toc460486556"/>
                            <w:r>
                              <w:rPr>
                                <w:b/>
                              </w:rPr>
                              <w:t>第二部分</w:t>
                            </w:r>
                            <w:bookmarkEnd w:id="9"/>
                            <w:bookmarkEnd w:id="10"/>
                            <w:bookmarkEnd w:id="11"/>
                          </w:p>
                          <w:p>
                            <w:pPr>
                              <w:pStyle w:val="2"/>
                              <w:ind w:left="2321" w:leftChars="667" w:hanging="720" w:hangingChars="100"/>
                              <w:rPr>
                                <w:rFonts w:ascii="黑体" w:hAnsi="黑体" w:eastAsia="黑体"/>
                                <w:sz w:val="72"/>
                                <w:szCs w:val="72"/>
                              </w:rPr>
                            </w:pPr>
                            <w:r>
                              <w:rPr>
                                <w:rFonts w:ascii="黑体" w:hAnsi="黑体" w:eastAsia="黑体"/>
                                <w:sz w:val="72"/>
                                <w:szCs w:val="72"/>
                              </w:rPr>
                              <w:t xml:space="preserve">               </w:t>
                            </w:r>
                            <w:bookmarkStart w:id="12" w:name="_Toc49239080"/>
                            <w:bookmarkStart w:id="13" w:name="_Toc460486557"/>
                            <w:r>
                              <w:rPr>
                                <w:rFonts w:ascii="黑体" w:hAnsi="黑体" w:eastAsia="黑体"/>
                                <w:sz w:val="72"/>
                                <w:szCs w:val="72"/>
                              </w:rPr>
                              <w:t>20</w:t>
                            </w:r>
                            <w:r>
                              <w:rPr>
                                <w:rFonts w:hint="eastAsia" w:ascii="黑体" w:hAnsi="黑体" w:eastAsia="黑体"/>
                                <w:sz w:val="72"/>
                                <w:szCs w:val="72"/>
                                <w:lang w:eastAsia="zh-CN"/>
                              </w:rPr>
                              <w:t>20</w:t>
                            </w:r>
                            <w:r>
                              <w:rPr>
                                <w:rFonts w:ascii="黑体" w:hAnsi="黑体" w:eastAsia="黑体"/>
                                <w:sz w:val="72"/>
                                <w:szCs w:val="72"/>
                              </w:rPr>
                              <w:t>年部门决算表</w:t>
                            </w:r>
                            <w:bookmarkEnd w:id="12"/>
                            <w:bookmarkEnd w:id="13"/>
                          </w:p>
                        </w:txbxContent>
                      </wps:txbx>
                      <wps:bodyPr upright="1"/>
                    </wps:wsp>
                  </a:graphicData>
                </a:graphic>
              </wp:anchor>
            </w:drawing>
          </mc:Choice>
          <mc:Fallback>
            <w:pict>
              <v:shape id="_x0000_s1026" o:spid="_x0000_s1026" o:spt="202" type="#_x0000_t202" style="position:absolute;left:0pt;margin-left:45pt;margin-top:258.8pt;height:127pt;width:432.8pt;z-index:251660288;mso-width-relative:page;mso-height-relative:page;" filled="f" stroked="f" coordsize="21600,21600" o:gfxdata="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FlNvh1wAA&#10;AAoBAAAPAAAAAAAAAAEAIAAAACIAAABkcnMvZG93bnJldi54bWxQSwECFAAUAAAACACHTuJAh3x7&#10;h60BAABPAwAADgAAAAAAAAABACAAAAAmAQAAZHJzL2Uyb0RvYy54bWxQSwUGAAAAAAYABgBZAQAA&#10;RQUAAAAA&#10;">
                <v:path/>
                <v:fill on="f" focussize="0,0"/>
                <v:stroke on="f"/>
                <v:imagedata o:title=""/>
                <o:lock v:ext="edit" aspectratio="f"/>
                <v:textbox>
                  <w:txbxContent>
                    <w:p>
                      <w:pPr>
                        <w:pStyle w:val="2"/>
                        <w:ind w:left="0"/>
                        <w:rPr>
                          <w:b/>
                        </w:rPr>
                      </w:pPr>
                      <w:bookmarkStart w:id="9" w:name="_Toc460484035"/>
                      <w:bookmarkStart w:id="10" w:name="_Toc49239079"/>
                      <w:bookmarkStart w:id="11" w:name="_Toc460486556"/>
                      <w:r>
                        <w:rPr>
                          <w:b/>
                        </w:rPr>
                        <w:t>第二部分</w:t>
                      </w:r>
                      <w:bookmarkEnd w:id="9"/>
                      <w:bookmarkEnd w:id="10"/>
                      <w:bookmarkEnd w:id="11"/>
                    </w:p>
                    <w:p>
                      <w:pPr>
                        <w:pStyle w:val="2"/>
                        <w:ind w:left="2321" w:leftChars="667" w:hanging="720" w:hangingChars="100"/>
                        <w:rPr>
                          <w:rFonts w:ascii="黑体" w:hAnsi="黑体" w:eastAsia="黑体"/>
                          <w:sz w:val="72"/>
                          <w:szCs w:val="72"/>
                        </w:rPr>
                      </w:pPr>
                      <w:r>
                        <w:rPr>
                          <w:rFonts w:ascii="黑体" w:hAnsi="黑体" w:eastAsia="黑体"/>
                          <w:sz w:val="72"/>
                          <w:szCs w:val="72"/>
                        </w:rPr>
                        <w:t xml:space="preserve">               </w:t>
                      </w:r>
                      <w:bookmarkStart w:id="12" w:name="_Toc49239080"/>
                      <w:bookmarkStart w:id="13" w:name="_Toc460486557"/>
                      <w:r>
                        <w:rPr>
                          <w:rFonts w:ascii="黑体" w:hAnsi="黑体" w:eastAsia="黑体"/>
                          <w:sz w:val="72"/>
                          <w:szCs w:val="72"/>
                        </w:rPr>
                        <w:t>20</w:t>
                      </w:r>
                      <w:r>
                        <w:rPr>
                          <w:rFonts w:hint="eastAsia" w:ascii="黑体" w:hAnsi="黑体" w:eastAsia="黑体"/>
                          <w:sz w:val="72"/>
                          <w:szCs w:val="72"/>
                          <w:lang w:eastAsia="zh-CN"/>
                        </w:rPr>
                        <w:t>20</w:t>
                      </w:r>
                      <w:r>
                        <w:rPr>
                          <w:rFonts w:ascii="黑体" w:hAnsi="黑体" w:eastAsia="黑体"/>
                          <w:sz w:val="72"/>
                          <w:szCs w:val="72"/>
                        </w:rPr>
                        <w:t>年部门决算表</w:t>
                      </w:r>
                      <w:bookmarkEnd w:id="12"/>
                      <w:bookmarkEnd w:id="13"/>
                    </w:p>
                  </w:txbxContent>
                </v:textbox>
              </v:shap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-7620</wp:posOffset>
                </wp:positionH>
                <wp:positionV relativeFrom="paragraph">
                  <wp:posOffset>-161925</wp:posOffset>
                </wp:positionV>
                <wp:extent cx="7653655" cy="10797540"/>
                <wp:effectExtent l="19050" t="19050" r="23495" b="22860"/>
                <wp:wrapNone/>
                <wp:docPr id="4" name="组合 4"/>
                <wp:cNvGraphicFramePr/>
                <a:graphic xmlns:a="http://schemas.openxmlformats.org/drawingml/2006/main">
                  <a:graphicData uri="http://schemas.microsoft.com/office/word/2010/wordprocessingGroup">
                    <wpg:wgp>
                      <wpg:cNvGrpSpPr/>
                      <wpg:grpSpPr>
                        <a:xfrm>
                          <a:off x="0" y="0"/>
                          <a:ext cx="7653655" cy="10797540"/>
                          <a:chOff x="4475" y="68655"/>
                          <a:chExt cx="12053" cy="17004"/>
                        </a:xfrm>
                      </wpg:grpSpPr>
                      <wps:wsp>
                        <wps:cNvPr id="2" name="矩形 2"/>
                        <wps:cNvSpPr/>
                        <wps:spPr>
                          <a:xfrm>
                            <a:off x="4475" y="68655"/>
                            <a:ext cx="3600" cy="17004"/>
                          </a:xfrm>
                          <a:prstGeom prst="rect">
                            <a:avLst/>
                          </a:prstGeom>
                          <a:solidFill>
                            <a:srgbClr val="00CCFF"/>
                          </a:solidFill>
                          <a:ln w="38100" cap="rnd" cmpd="sng">
                            <a:solidFill>
                              <a:srgbClr val="C0C0C0"/>
                            </a:solidFill>
                            <a:prstDash val="sysDot"/>
                            <a:miter/>
                            <a:headEnd type="none" w="med" len="med"/>
                            <a:tailEnd type="none" w="med" len="med"/>
                          </a:ln>
                        </wps:spPr>
                        <wps:bodyPr upright="1"/>
                      </wps:wsp>
                      <wps:wsp>
                        <wps:cNvPr id="3" name="矩形 3"/>
                        <wps:cNvSpPr/>
                        <wps:spPr>
                          <a:xfrm>
                            <a:off x="4832" y="73803"/>
                            <a:ext cx="11697" cy="3195"/>
                          </a:xfrm>
                          <a:prstGeom prst="rect">
                            <a:avLst/>
                          </a:prstGeom>
                          <a:solidFill>
                            <a:srgbClr val="C0C0C0">
                              <a:alpha val="89999"/>
                            </a:srgbClr>
                          </a:solidFill>
                          <a:ln w="38100" cap="rnd" cmpd="sng">
                            <a:solidFill>
                              <a:srgbClr val="00CCFF"/>
                            </a:solidFill>
                            <a:prstDash val="sysDot"/>
                            <a:miter/>
                            <a:headEnd type="none" w="med" len="med"/>
                            <a:tailEnd type="none" w="med" len="med"/>
                          </a:ln>
                        </wps:spPr>
                        <wps:bodyPr upright="1"/>
                      </wps:wsp>
                    </wpg:wgp>
                  </a:graphicData>
                </a:graphic>
              </wp:anchor>
            </w:drawing>
          </mc:Choice>
          <mc:Fallback>
            <w:pict>
              <v:group id="_x0000_s1026" o:spid="_x0000_s1026" o:spt="203" style="position:absolute;left:0pt;margin-left:-0.6pt;margin-top:-12.75pt;height:850.2pt;width:602.65pt;z-index:251659264;mso-width-relative:page;mso-height-relative:page;" coordorigin="4475,68655" coordsize="12053,17004" o:gfxdata="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LbC&#10;RbjcAAAADAEAAA8AAAAAAAAAAQAgAAAAIgAAAGRycy9kb3ducmV2LnhtbFBLAQIUABQAAAAIAIdO&#10;4kDX1SywygIAALwHAAAOAAAAAAAAAAEAIAAAACsBAABkcnMvZTJvRG9jLnhtbFBLBQYAAAAABgAG&#10;AFkBAABnBgAAAAA=&#10;">
                <o:lock v:ext="edit" aspectratio="f"/>
                <v:rect id="_x0000_s1026" o:spid="_x0000_s1026" o:spt="1" style="position:absolute;left:4475;top:68655;height:17004;width:3600;" fillcolor="#00CCFF" filled="t" stroked="t" coordsize="21600,21600" o:gfxdata="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te01W8AAAA&#10;2gAAAA8AAAAAAAAAAQAgAAAAIgAAAGRycy9kb3ducmV2LnhtbFBLAQIUABQAAAAIAIdO4kAzLwWe&#10;OwAAADkAAAAQAAAAAAAAAAEAIAAAAAsBAABkcnMvc2hhcGV4bWwueG1sUEsFBgAAAAAGAAYAWwEA&#10;ALUDAAAAAA==&#10;">
                  <v:fill on="t" focussize="0,0"/>
                  <v:stroke weight="3pt" color="#C0C0C0" joinstyle="miter" dashstyle="1 1" endcap="round"/>
                  <v:imagedata o:title=""/>
                  <o:lock v:ext="edit" aspectratio="f"/>
                </v:rect>
                <v:rect id="_x0000_s1026" o:spid="_x0000_s1026" o:spt="1" style="position:absolute;left:4832;top:73803;height:3195;width:11697;" fillcolor="#C0C0C0" filled="t" stroked="t" coordsize="21600,21600" o:gfxdata="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yKHC8AAAA&#10;2gAAAA8AAAAAAAAAAQAgAAAAIgAAAGRycy9kb3ducmV2LnhtbFBLAQIUABQAAAAIAIdO4kAzLwWe&#10;OwAAADkAAAAQAAAAAAAAAAEAIAAAAAsBAABkcnMvc2hhcGV4bWwueG1sUEsFBgAAAAAGAAYAWwEA&#10;ALUDAAAAAA==&#10;">
                  <v:fill on="t" opacity="58982f" focussize="0,0"/>
                  <v:stroke weight="3pt" color="#00CCFF" joinstyle="miter" dashstyle="1 1" endcap="round"/>
                  <v:imagedata o:title=""/>
                  <o:lock v:ext="edit" aspectratio="f"/>
                </v:rect>
              </v:group>
            </w:pict>
          </mc:Fallback>
        </mc:AlternateContent>
      </w:r>
    </w:p>
    <w:p>
      <w:pPr>
        <w:jc w:val="right"/>
        <w:rPr>
          <w:rFonts w:hint="eastAsia" w:ascii="宋体" w:hAnsi="宋体" w:cs="宋体"/>
          <w:sz w:val="20"/>
        </w:rPr>
      </w:pPr>
    </w:p>
    <w:tbl>
      <w:tblPr>
        <w:tblStyle w:val="4"/>
        <w:tblW w:w="0" w:type="auto"/>
        <w:tblInd w:w="93" w:type="dxa"/>
        <w:tblLayout w:type="fixed"/>
        <w:tblCellMar>
          <w:top w:w="0" w:type="dxa"/>
          <w:left w:w="108" w:type="dxa"/>
          <w:bottom w:w="0" w:type="dxa"/>
          <w:right w:w="108" w:type="dxa"/>
        </w:tblCellMar>
      </w:tblPr>
      <w:tblGrid>
        <w:gridCol w:w="2000"/>
        <w:gridCol w:w="567"/>
        <w:gridCol w:w="1657"/>
        <w:gridCol w:w="624"/>
        <w:gridCol w:w="236"/>
        <w:gridCol w:w="1877"/>
        <w:gridCol w:w="567"/>
        <w:gridCol w:w="2632"/>
      </w:tblGrid>
      <w:tr>
        <w:tblPrEx>
          <w:tblCellMar>
            <w:top w:w="0" w:type="dxa"/>
            <w:left w:w="108" w:type="dxa"/>
            <w:bottom w:w="0" w:type="dxa"/>
            <w:right w:w="108" w:type="dxa"/>
          </w:tblCellMar>
        </w:tblPrEx>
        <w:trPr>
          <w:trHeight w:val="540" w:hRule="atLeast"/>
        </w:trPr>
        <w:tc>
          <w:tcPr>
            <w:tcW w:w="10160" w:type="dxa"/>
            <w:gridSpan w:val="8"/>
            <w:tcBorders>
              <w:top w:val="nil"/>
              <w:left w:val="nil"/>
              <w:bottom w:val="nil"/>
              <w:right w:val="nil"/>
            </w:tcBorders>
            <w:noWrap w:val="0"/>
            <w:vAlign w:val="center"/>
          </w:tcPr>
          <w:p>
            <w:pPr>
              <w:pStyle w:val="2"/>
              <w:ind w:left="0"/>
              <w:jc w:val="center"/>
              <w:rPr>
                <w:lang w:val="en-US" w:eastAsia="zh-CN"/>
              </w:rPr>
            </w:pPr>
            <w:bookmarkStart w:id="0" w:name="_Toc49239081"/>
            <w:r>
              <w:rPr>
                <w:lang w:val="en-US" w:eastAsia="zh-CN"/>
              </w:rPr>
              <w:t>一、收入支出决算</w:t>
            </w:r>
            <w:r>
              <w:rPr>
                <w:rFonts w:hint="eastAsia"/>
                <w:lang w:val="en-US" w:eastAsia="zh-CN"/>
              </w:rPr>
              <w:t>总</w:t>
            </w:r>
            <w:r>
              <w:rPr>
                <w:lang w:val="en-US" w:eastAsia="zh-CN"/>
              </w:rPr>
              <w:t>表</w:t>
            </w:r>
            <w:bookmarkEnd w:id="0"/>
          </w:p>
        </w:tc>
      </w:tr>
      <w:tr>
        <w:tblPrEx>
          <w:tblCellMar>
            <w:top w:w="0" w:type="dxa"/>
            <w:left w:w="108" w:type="dxa"/>
            <w:bottom w:w="0" w:type="dxa"/>
            <w:right w:w="108" w:type="dxa"/>
          </w:tblCellMar>
        </w:tblPrEx>
        <w:trPr>
          <w:trHeight w:val="315" w:hRule="atLeast"/>
        </w:trPr>
        <w:tc>
          <w:tcPr>
            <w:tcW w:w="4224" w:type="dxa"/>
            <w:gridSpan w:val="3"/>
            <w:tcBorders>
              <w:top w:val="nil"/>
              <w:left w:val="nil"/>
              <w:bottom w:val="nil"/>
              <w:right w:val="nil"/>
            </w:tcBorders>
            <w:noWrap w:val="0"/>
            <w:vAlign w:val="bottom"/>
          </w:tcPr>
          <w:p>
            <w:pPr>
              <w:widowControl/>
              <w:autoSpaceDE/>
              <w:autoSpaceDN/>
              <w:adjustRightInd/>
              <w:rPr>
                <w:rFonts w:ascii="宋体" w:hAnsi="宋体" w:cs="Arial"/>
                <w:color w:val="000000"/>
                <w:szCs w:val="24"/>
              </w:rPr>
            </w:pPr>
          </w:p>
        </w:tc>
        <w:tc>
          <w:tcPr>
            <w:tcW w:w="62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3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076" w:type="dxa"/>
            <w:gridSpan w:val="3"/>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rPr>
          <w:trHeight w:val="300" w:hRule="atLeast"/>
        </w:trPr>
        <w:tc>
          <w:tcPr>
            <w:tcW w:w="4848"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收入</w:t>
            </w:r>
          </w:p>
        </w:tc>
        <w:tc>
          <w:tcPr>
            <w:tcW w:w="5312" w:type="dxa"/>
            <w:gridSpan w:val="4"/>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r>
      <w:tr>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7,424,045.97</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二、政府性基金预算财政拨款收入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三、上级补助收入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四、事业收入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五、经营收入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六、附属单位上缴收入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七、其他收入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38</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7,500,863.34</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39</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十四、资源勘探信息等支出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49</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177,306.00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二十一、灾害防治及应急管理支出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二十二、其他支出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二十三、债务还本支出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24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b/>
                <w:bCs/>
                <w:color w:val="000000"/>
                <w:sz w:val="18"/>
                <w:szCs w:val="18"/>
              </w:rPr>
            </w:pPr>
            <w:r>
              <w:rPr>
                <w:rFonts w:hint="eastAsia" w:ascii="宋体" w:hAnsi="宋体" w:cs="Arial"/>
                <w:color w:val="000000"/>
                <w:sz w:val="18"/>
                <w:szCs w:val="18"/>
              </w:rPr>
              <w:t>二十四、债务付息支出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54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7,424,045.97</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本年支出合计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55</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7,679,369.34</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用事业基金弥补收支差额</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255,323.37</w:t>
            </w: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结余分配</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年初结转和结余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年末结转和结余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 项目支出结转和结余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其中:项目支出结转和结余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58</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7,679,369.34</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60</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7,679,369.34</w:t>
            </w:r>
          </w:p>
        </w:tc>
      </w:tr>
      <w:tr>
        <w:tblPrEx>
          <w:tblCellMar>
            <w:top w:w="0" w:type="dxa"/>
            <w:left w:w="108" w:type="dxa"/>
            <w:bottom w:w="0" w:type="dxa"/>
            <w:right w:w="108" w:type="dxa"/>
          </w:tblCellMar>
        </w:tblPrEx>
        <w:trPr>
          <w:trHeight w:val="308" w:hRule="atLeast"/>
        </w:trPr>
        <w:tc>
          <w:tcPr>
            <w:tcW w:w="10160" w:type="dxa"/>
            <w:gridSpan w:val="8"/>
            <w:tcBorders>
              <w:top w:val="single" w:color="auto" w:sz="8" w:space="0"/>
              <w:left w:val="nil"/>
              <w:bottom w:val="nil"/>
              <w:right w:val="nil"/>
            </w:tcBorders>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注：本表反映部门本年度的总收支和年末结转结余情况。</w:t>
            </w:r>
          </w:p>
        </w:tc>
      </w:tr>
    </w:tbl>
    <w:p>
      <w:pPr>
        <w:tabs>
          <w:tab w:val="left" w:pos="1289"/>
        </w:tabs>
        <w:rPr>
          <w:rFonts w:hint="eastAsia" w:eastAsia="黑体"/>
        </w:rPr>
        <w:sectPr>
          <w:pgSz w:w="11906" w:h="16840"/>
          <w:pgMar w:top="850" w:right="850" w:bottom="1417" w:left="850" w:header="0" w:footer="952" w:gutter="0"/>
          <w:lnNumType w:countBy="0" w:distance="360"/>
          <w:cols w:space="720" w:num="1"/>
          <w:docGrid w:linePitch="326" w:charSpace="0"/>
        </w:sectPr>
      </w:pPr>
    </w:p>
    <w:tbl>
      <w:tblPr>
        <w:tblStyle w:val="4"/>
        <w:tblW w:w="0" w:type="auto"/>
        <w:tblInd w:w="93" w:type="dxa"/>
        <w:tblLayout w:type="fixed"/>
        <w:tblCellMar>
          <w:top w:w="0" w:type="dxa"/>
          <w:left w:w="108" w:type="dxa"/>
          <w:bottom w:w="0" w:type="dxa"/>
          <w:right w:w="108" w:type="dxa"/>
        </w:tblCellMar>
      </w:tblPr>
      <w:tblGrid>
        <w:gridCol w:w="376"/>
        <w:gridCol w:w="256"/>
        <w:gridCol w:w="120"/>
        <w:gridCol w:w="287"/>
        <w:gridCol w:w="110"/>
        <w:gridCol w:w="386"/>
        <w:gridCol w:w="1857"/>
        <w:gridCol w:w="1575"/>
        <w:gridCol w:w="1569"/>
        <w:gridCol w:w="1701"/>
        <w:gridCol w:w="1559"/>
        <w:gridCol w:w="1701"/>
        <w:gridCol w:w="1559"/>
        <w:gridCol w:w="1701"/>
      </w:tblGrid>
      <w:tr>
        <w:tblPrEx>
          <w:tblCellMar>
            <w:top w:w="0" w:type="dxa"/>
            <w:left w:w="108" w:type="dxa"/>
            <w:bottom w:w="0" w:type="dxa"/>
            <w:right w:w="108" w:type="dxa"/>
          </w:tblCellMar>
        </w:tblPrEx>
        <w:trPr>
          <w:trHeight w:val="405" w:hRule="atLeast"/>
        </w:trPr>
        <w:tc>
          <w:tcPr>
            <w:tcW w:w="14757" w:type="dxa"/>
            <w:gridSpan w:val="14"/>
            <w:tcBorders>
              <w:top w:val="nil"/>
              <w:left w:val="nil"/>
              <w:bottom w:val="nil"/>
              <w:right w:val="nil"/>
            </w:tcBorders>
            <w:noWrap w:val="0"/>
            <w:vAlign w:val="bottom"/>
          </w:tcPr>
          <w:p>
            <w:pPr>
              <w:pStyle w:val="2"/>
              <w:ind w:left="0"/>
              <w:jc w:val="center"/>
              <w:rPr>
                <w:lang w:val="en-US" w:eastAsia="zh-CN"/>
              </w:rPr>
            </w:pPr>
            <w:bookmarkStart w:id="1" w:name="_Toc49239082"/>
            <w:r>
              <w:rPr>
                <w:lang w:val="en-US" w:eastAsia="zh-CN"/>
              </w:rPr>
              <w:t>二、收入决算表</w:t>
            </w:r>
            <w:bookmarkEnd w:id="1"/>
          </w:p>
        </w:tc>
      </w:tr>
      <w:tr>
        <w:tblPrEx>
          <w:tblCellMar>
            <w:top w:w="0" w:type="dxa"/>
            <w:left w:w="108" w:type="dxa"/>
            <w:bottom w:w="0" w:type="dxa"/>
            <w:right w:w="108" w:type="dxa"/>
          </w:tblCellMar>
        </w:tblPrEx>
        <w:trPr>
          <w:trHeight w:val="270" w:hRule="atLeast"/>
        </w:trPr>
        <w:tc>
          <w:tcPr>
            <w:tcW w:w="632" w:type="dxa"/>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07"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96"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57"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7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6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392" w:type="dxa"/>
            <w:gridSpan w:val="7"/>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575"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本年收入合计</w:t>
            </w:r>
          </w:p>
        </w:tc>
        <w:tc>
          <w:tcPr>
            <w:tcW w:w="156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财政拨款收入</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上级补助收入</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事业收入</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经营收入</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上缴收入</w:t>
            </w:r>
          </w:p>
        </w:tc>
        <w:tc>
          <w:tcPr>
            <w:tcW w:w="1701" w:type="dxa"/>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其他收入</w:t>
            </w:r>
          </w:p>
        </w:tc>
      </w:tr>
      <w:tr>
        <w:tblPrEx>
          <w:tblCellMar>
            <w:top w:w="0" w:type="dxa"/>
            <w:left w:w="108" w:type="dxa"/>
            <w:bottom w:w="0" w:type="dxa"/>
            <w:right w:w="108" w:type="dxa"/>
          </w:tblCellMar>
        </w:tblPrEx>
        <w:trPr>
          <w:trHeight w:val="312" w:hRule="atLeast"/>
        </w:trPr>
        <w:tc>
          <w:tcPr>
            <w:tcW w:w="1149"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支出功能分类科目编码</w:t>
            </w:r>
          </w:p>
        </w:tc>
        <w:tc>
          <w:tcPr>
            <w:tcW w:w="2243"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57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6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trPr>
        <w:tc>
          <w:tcPr>
            <w:tcW w:w="1149"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2243"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7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6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08" w:hRule="atLeast"/>
        </w:trPr>
        <w:tc>
          <w:tcPr>
            <w:tcW w:w="1149"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2243"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7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6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类</w:t>
            </w:r>
          </w:p>
        </w:tc>
        <w:tc>
          <w:tcPr>
            <w:tcW w:w="376"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款</w:t>
            </w:r>
          </w:p>
        </w:tc>
        <w:tc>
          <w:tcPr>
            <w:tcW w:w="397"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w:t>
            </w:r>
          </w:p>
        </w:tc>
        <w:tc>
          <w:tcPr>
            <w:tcW w:w="224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57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5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c>
          <w:tcPr>
            <w:tcW w:w="1701"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7</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76"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97"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224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575"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7,424,045.97</w:t>
            </w:r>
          </w:p>
        </w:tc>
        <w:tc>
          <w:tcPr>
            <w:tcW w:w="1569"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7,424,045.97</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208</w:t>
            </w:r>
          </w:p>
        </w:tc>
        <w:tc>
          <w:tcPr>
            <w:tcW w:w="224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7,245,539.97</w:t>
            </w:r>
          </w:p>
        </w:tc>
        <w:tc>
          <w:tcPr>
            <w:tcW w:w="15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7,245,539.97</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20801</w:t>
            </w:r>
          </w:p>
        </w:tc>
        <w:tc>
          <w:tcPr>
            <w:tcW w:w="224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人力资源和社会保障管理事务</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1,909,757.68</w:t>
            </w:r>
          </w:p>
        </w:tc>
        <w:tc>
          <w:tcPr>
            <w:tcW w:w="15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1,909,757.68</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2080111</w:t>
            </w:r>
          </w:p>
        </w:tc>
        <w:tc>
          <w:tcPr>
            <w:tcW w:w="224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公共就业服务和职业技能鉴定机构</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1,909,757.68</w:t>
            </w:r>
          </w:p>
        </w:tc>
        <w:tc>
          <w:tcPr>
            <w:tcW w:w="15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1,909,757.68</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20805</w:t>
            </w:r>
          </w:p>
        </w:tc>
        <w:tc>
          <w:tcPr>
            <w:tcW w:w="224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203,829.76</w:t>
            </w:r>
          </w:p>
        </w:tc>
        <w:tc>
          <w:tcPr>
            <w:tcW w:w="15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203,829.76</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2080502</w:t>
            </w:r>
          </w:p>
        </w:tc>
        <w:tc>
          <w:tcPr>
            <w:tcW w:w="224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11,200.00</w:t>
            </w:r>
          </w:p>
        </w:tc>
        <w:tc>
          <w:tcPr>
            <w:tcW w:w="15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11,200.00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2080505</w:t>
            </w:r>
          </w:p>
        </w:tc>
        <w:tc>
          <w:tcPr>
            <w:tcW w:w="224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192,629.76</w:t>
            </w:r>
          </w:p>
        </w:tc>
        <w:tc>
          <w:tcPr>
            <w:tcW w:w="15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192,629.76</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20899</w:t>
            </w:r>
          </w:p>
        </w:tc>
        <w:tc>
          <w:tcPr>
            <w:tcW w:w="224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其他社会保障和就业支出</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5,131,952.53</w:t>
            </w:r>
          </w:p>
        </w:tc>
        <w:tc>
          <w:tcPr>
            <w:tcW w:w="15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5,131,952.53</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2089901</w:t>
            </w:r>
          </w:p>
        </w:tc>
        <w:tc>
          <w:tcPr>
            <w:tcW w:w="224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5,131,952.53</w:t>
            </w:r>
          </w:p>
        </w:tc>
        <w:tc>
          <w:tcPr>
            <w:tcW w:w="15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5,131,952.53</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210</w:t>
            </w:r>
          </w:p>
        </w:tc>
        <w:tc>
          <w:tcPr>
            <w:tcW w:w="224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卫生健康支出</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15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21007</w:t>
            </w:r>
          </w:p>
        </w:tc>
        <w:tc>
          <w:tcPr>
            <w:tcW w:w="224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计划生育事务</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15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2100799</w:t>
            </w:r>
          </w:p>
        </w:tc>
        <w:tc>
          <w:tcPr>
            <w:tcW w:w="224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其他计划生育事务支出</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15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221</w:t>
            </w:r>
          </w:p>
        </w:tc>
        <w:tc>
          <w:tcPr>
            <w:tcW w:w="224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住房保障支出</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15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22102</w:t>
            </w:r>
          </w:p>
        </w:tc>
        <w:tc>
          <w:tcPr>
            <w:tcW w:w="224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住房改革支出</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15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18"/>
                <w:szCs w:val="18"/>
                <w:lang w:val="en-US" w:eastAsia="zh-CN"/>
              </w:rPr>
            </w:pPr>
            <w:r>
              <w:rPr>
                <w:rFonts w:hint="eastAsia" w:ascii="宋体" w:hAnsi="宋体" w:cs="Arial"/>
                <w:color w:val="000000"/>
                <w:sz w:val="18"/>
                <w:szCs w:val="18"/>
                <w:lang w:val="en-US" w:eastAsia="zh-CN"/>
              </w:rPr>
              <w:t>2210201</w:t>
            </w:r>
          </w:p>
        </w:tc>
        <w:tc>
          <w:tcPr>
            <w:tcW w:w="2243"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住房公积金</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156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bl>
    <w:p>
      <w:pPr>
        <w:tabs>
          <w:tab w:val="left" w:pos="3760"/>
        </w:tabs>
        <w:kinsoku w:val="0"/>
        <w:overflowPunct w:val="0"/>
        <w:spacing w:line="799" w:lineRule="exact"/>
        <w:rPr>
          <w:rFonts w:hint="eastAsia" w:ascii="黑体" w:hAnsi="黑体" w:eastAsia="黑体" w:cs="黑体"/>
          <w:sz w:val="48"/>
        </w:rPr>
      </w:pPr>
    </w:p>
    <w:tbl>
      <w:tblPr>
        <w:tblStyle w:val="4"/>
        <w:tblW w:w="0" w:type="auto"/>
        <w:jc w:val="center"/>
        <w:tblLayout w:type="fixed"/>
        <w:tblCellMar>
          <w:top w:w="0" w:type="dxa"/>
          <w:left w:w="108" w:type="dxa"/>
          <w:bottom w:w="0" w:type="dxa"/>
          <w:right w:w="108" w:type="dxa"/>
        </w:tblCellMar>
      </w:tblPr>
      <w:tblGrid>
        <w:gridCol w:w="416"/>
        <w:gridCol w:w="416"/>
        <w:gridCol w:w="635"/>
        <w:gridCol w:w="2057"/>
        <w:gridCol w:w="1944"/>
        <w:gridCol w:w="1980"/>
        <w:gridCol w:w="1838"/>
        <w:gridCol w:w="1697"/>
        <w:gridCol w:w="1980"/>
        <w:gridCol w:w="1979"/>
        <w:gridCol w:w="37"/>
      </w:tblGrid>
      <w:tr>
        <w:tblPrEx>
          <w:tblCellMar>
            <w:top w:w="0" w:type="dxa"/>
            <w:left w:w="108" w:type="dxa"/>
            <w:bottom w:w="0" w:type="dxa"/>
            <w:right w:w="108" w:type="dxa"/>
          </w:tblCellMar>
        </w:tblPrEx>
        <w:trPr>
          <w:trHeight w:val="300" w:hRule="atLeast"/>
          <w:jc w:val="center"/>
        </w:trPr>
        <w:tc>
          <w:tcPr>
            <w:tcW w:w="14979" w:type="dxa"/>
            <w:gridSpan w:val="11"/>
            <w:tcBorders>
              <w:top w:val="single" w:color="auto"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注：本表反映部门本年度取得的各项收入情况。</w:t>
            </w:r>
          </w:p>
        </w:tc>
      </w:tr>
      <w:tr>
        <w:tblPrEx>
          <w:tblCellMar>
            <w:top w:w="0" w:type="dxa"/>
            <w:left w:w="108" w:type="dxa"/>
            <w:bottom w:w="0" w:type="dxa"/>
            <w:right w:w="108" w:type="dxa"/>
          </w:tblCellMar>
        </w:tblPrEx>
        <w:trPr>
          <w:gridAfter w:val="1"/>
          <w:wAfter w:w="37" w:type="dxa"/>
          <w:trHeight w:val="1061" w:hRule="atLeast"/>
          <w:jc w:val="center"/>
        </w:trPr>
        <w:tc>
          <w:tcPr>
            <w:tcW w:w="14942" w:type="dxa"/>
            <w:gridSpan w:val="10"/>
            <w:tcBorders>
              <w:top w:val="nil"/>
              <w:left w:val="nil"/>
              <w:bottom w:val="nil"/>
              <w:right w:val="nil"/>
            </w:tcBorders>
            <w:noWrap w:val="0"/>
            <w:vAlign w:val="bottom"/>
          </w:tcPr>
          <w:p>
            <w:pPr>
              <w:pStyle w:val="2"/>
              <w:ind w:left="0"/>
              <w:jc w:val="center"/>
              <w:rPr>
                <w:lang w:val="en-US" w:eastAsia="zh-CN"/>
              </w:rPr>
            </w:pPr>
          </w:p>
          <w:p>
            <w:pPr>
              <w:pStyle w:val="2"/>
              <w:ind w:left="0"/>
              <w:jc w:val="center"/>
              <w:rPr>
                <w:rFonts w:hint="eastAsia"/>
                <w:lang w:val="en-US" w:eastAsia="zh-CN"/>
              </w:rPr>
            </w:pPr>
            <w:bookmarkStart w:id="2" w:name="_Toc49239083"/>
          </w:p>
          <w:p>
            <w:pPr>
              <w:pStyle w:val="2"/>
              <w:ind w:left="0"/>
              <w:jc w:val="center"/>
              <w:rPr>
                <w:lang w:val="en-US" w:eastAsia="zh-CN"/>
              </w:rPr>
            </w:pPr>
            <w:r>
              <w:rPr>
                <w:lang w:val="en-US" w:eastAsia="zh-CN"/>
              </w:rPr>
              <w:t>三、支出决算表</w:t>
            </w:r>
            <w:bookmarkEnd w:id="2"/>
          </w:p>
        </w:tc>
      </w:tr>
      <w:tr>
        <w:tblPrEx>
          <w:tblCellMar>
            <w:top w:w="0" w:type="dxa"/>
            <w:left w:w="108" w:type="dxa"/>
            <w:bottom w:w="0" w:type="dxa"/>
            <w:right w:w="108" w:type="dxa"/>
          </w:tblCellMar>
        </w:tblPrEx>
        <w:trPr>
          <w:gridAfter w:val="1"/>
          <w:wAfter w:w="37" w:type="dxa"/>
          <w:trHeight w:val="270" w:hRule="atLeast"/>
          <w:jc w:val="center"/>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63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057"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4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0"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838"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697"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3959" w:type="dxa"/>
            <w:gridSpan w:val="2"/>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gridAfter w:val="1"/>
          <w:wAfter w:w="37" w:type="dxa"/>
          <w:trHeight w:val="308" w:hRule="atLeast"/>
          <w:jc w:val="center"/>
        </w:trPr>
        <w:tc>
          <w:tcPr>
            <w:tcW w:w="3524"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944"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98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38"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697"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上缴上级支出</w:t>
            </w:r>
          </w:p>
        </w:tc>
        <w:tc>
          <w:tcPr>
            <w:tcW w:w="1980"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经营支出</w:t>
            </w:r>
          </w:p>
        </w:tc>
        <w:tc>
          <w:tcPr>
            <w:tcW w:w="1979" w:type="dxa"/>
            <w:vMerge w:val="restart"/>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对附属单位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补助支出</w:t>
            </w:r>
          </w:p>
        </w:tc>
      </w:tr>
      <w:tr>
        <w:tblPrEx>
          <w:tblCellMar>
            <w:top w:w="0" w:type="dxa"/>
            <w:left w:w="108" w:type="dxa"/>
            <w:bottom w:w="0" w:type="dxa"/>
            <w:right w:w="108" w:type="dxa"/>
          </w:tblCellMar>
        </w:tblPrEx>
        <w:trPr>
          <w:gridAfter w:val="1"/>
          <w:wAfter w:w="37" w:type="dxa"/>
          <w:trHeight w:val="750"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05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944"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3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697"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0"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79" w:type="dxa"/>
            <w:vMerge w:val="continue"/>
            <w:tcBorders>
              <w:top w:val="nil"/>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gridAfter w:val="1"/>
          <w:wAfter w:w="37" w:type="dxa"/>
          <w:trHeight w:val="308" w:hRule="atLeast"/>
          <w:jc w:val="center"/>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635"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05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94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98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83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69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98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979"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gridAfter w:val="1"/>
          <w:wAfter w:w="37" w:type="dxa"/>
          <w:trHeight w:val="308" w:hRule="atLeast"/>
          <w:jc w:val="center"/>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635"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05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944"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7,679,369.34</w:t>
            </w:r>
          </w:p>
        </w:tc>
        <w:tc>
          <w:tcPr>
            <w:tcW w:w="1980"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2,300,110.94</w:t>
            </w:r>
          </w:p>
        </w:tc>
        <w:tc>
          <w:tcPr>
            <w:tcW w:w="1838"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5,379,258.40</w:t>
            </w:r>
          </w:p>
        </w:tc>
        <w:tc>
          <w:tcPr>
            <w:tcW w:w="169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7,500,863.34</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2,121,604.94</w:t>
            </w:r>
          </w:p>
        </w:tc>
        <w:tc>
          <w:tcPr>
            <w:tcW w:w="183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5,379,258.40</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20801</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人力资源和社会保障管理事务</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2,017,775.18</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1,917,775.18</w:t>
            </w:r>
          </w:p>
        </w:tc>
        <w:tc>
          <w:tcPr>
            <w:tcW w:w="183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100,000.00</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2080111</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公共就业服务和职业技能鉴定机构</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2,017,775.18</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1,917,775.18</w:t>
            </w:r>
          </w:p>
        </w:tc>
        <w:tc>
          <w:tcPr>
            <w:tcW w:w="183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100,000.00</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20805</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203,829.76</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203,829.76</w:t>
            </w:r>
          </w:p>
        </w:tc>
        <w:tc>
          <w:tcPr>
            <w:tcW w:w="183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szCs w:val="20"/>
              </w:rPr>
            </w:pPr>
            <w:r>
              <w:rPr>
                <w:rFonts w:hint="eastAsia" w:ascii="宋体" w:hAnsi="宋体" w:cs="Arial"/>
                <w:color w:val="000000"/>
                <w:sz w:val="20"/>
                <w:szCs w:val="20"/>
                <w:lang w:val="en-US" w:eastAsia="zh-CN"/>
              </w:rPr>
              <w:t>0.00</w:t>
            </w:r>
            <w:r>
              <w:rPr>
                <w:rFonts w:hint="eastAsia" w:ascii="宋体" w:hAnsi="宋体" w:cs="Arial"/>
                <w:color w:val="000000"/>
                <w:sz w:val="20"/>
                <w:szCs w:val="20"/>
              </w:rPr>
              <w:t>　</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2080502</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11,200.00</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11,200.00</w:t>
            </w:r>
          </w:p>
        </w:tc>
        <w:tc>
          <w:tcPr>
            <w:tcW w:w="183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szCs w:val="20"/>
              </w:rPr>
            </w:pPr>
            <w:r>
              <w:rPr>
                <w:rFonts w:hint="eastAsia" w:ascii="宋体" w:hAnsi="宋体" w:cs="Arial"/>
                <w:color w:val="000000"/>
                <w:sz w:val="20"/>
                <w:szCs w:val="20"/>
                <w:lang w:val="en-US" w:eastAsia="zh-CN"/>
              </w:rPr>
              <w:t>0.00</w:t>
            </w:r>
            <w:r>
              <w:rPr>
                <w:rFonts w:hint="eastAsia" w:ascii="宋体" w:hAnsi="宋体" w:cs="Arial"/>
                <w:color w:val="000000"/>
                <w:sz w:val="20"/>
                <w:szCs w:val="20"/>
              </w:rPr>
              <w:t>　</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2080505</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192,629.76</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192,629.76</w:t>
            </w:r>
          </w:p>
        </w:tc>
        <w:tc>
          <w:tcPr>
            <w:tcW w:w="183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szCs w:val="20"/>
              </w:rPr>
            </w:pPr>
            <w:r>
              <w:rPr>
                <w:rFonts w:hint="eastAsia" w:ascii="宋体" w:hAnsi="宋体" w:cs="Arial"/>
                <w:color w:val="000000"/>
                <w:sz w:val="20"/>
                <w:szCs w:val="20"/>
                <w:lang w:val="en-US" w:eastAsia="zh-CN"/>
              </w:rPr>
              <w:t>0.00</w:t>
            </w:r>
            <w:r>
              <w:rPr>
                <w:rFonts w:hint="eastAsia" w:ascii="宋体" w:hAnsi="宋体" w:cs="Arial"/>
                <w:color w:val="000000"/>
                <w:sz w:val="20"/>
                <w:szCs w:val="20"/>
              </w:rPr>
              <w:t>　</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20899</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其他社会保障和就业支出</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5,279,258.40</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szCs w:val="20"/>
              </w:rPr>
            </w:pPr>
            <w:r>
              <w:rPr>
                <w:rFonts w:hint="eastAsia" w:ascii="宋体" w:hAnsi="宋体" w:cs="Arial"/>
                <w:color w:val="000000"/>
                <w:sz w:val="20"/>
                <w:szCs w:val="20"/>
                <w:lang w:val="en-US" w:eastAsia="zh-CN"/>
              </w:rPr>
              <w:t>0.00</w:t>
            </w:r>
            <w:r>
              <w:rPr>
                <w:rFonts w:hint="eastAsia" w:ascii="宋体" w:hAnsi="宋体" w:cs="Arial"/>
                <w:color w:val="000000"/>
                <w:sz w:val="20"/>
                <w:szCs w:val="20"/>
              </w:rPr>
              <w:t>　</w:t>
            </w:r>
          </w:p>
        </w:tc>
        <w:tc>
          <w:tcPr>
            <w:tcW w:w="183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5,279,258.40</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2089901</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5,279,258.40</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szCs w:val="20"/>
              </w:rPr>
            </w:pPr>
            <w:r>
              <w:rPr>
                <w:rFonts w:hint="eastAsia" w:ascii="宋体" w:hAnsi="宋体" w:cs="Arial"/>
                <w:color w:val="000000"/>
                <w:sz w:val="20"/>
                <w:szCs w:val="20"/>
                <w:lang w:val="en-US" w:eastAsia="zh-CN"/>
              </w:rPr>
              <w:t>0.00</w:t>
            </w:r>
            <w:r>
              <w:rPr>
                <w:rFonts w:hint="eastAsia" w:ascii="宋体" w:hAnsi="宋体" w:cs="Arial"/>
                <w:color w:val="000000"/>
                <w:sz w:val="20"/>
                <w:szCs w:val="20"/>
              </w:rPr>
              <w:t>　</w:t>
            </w:r>
          </w:p>
        </w:tc>
        <w:tc>
          <w:tcPr>
            <w:tcW w:w="183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5,279,258.40</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210</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卫生健康支出</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183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szCs w:val="20"/>
              </w:rPr>
            </w:pPr>
            <w:r>
              <w:rPr>
                <w:rFonts w:hint="eastAsia" w:ascii="宋体" w:hAnsi="宋体" w:cs="Arial"/>
                <w:color w:val="000000"/>
                <w:sz w:val="20"/>
                <w:szCs w:val="20"/>
              </w:rPr>
              <w:t>　</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21007</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计划生育事务</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183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szCs w:val="20"/>
              </w:rPr>
            </w:pPr>
            <w:r>
              <w:rPr>
                <w:rFonts w:hint="eastAsia" w:ascii="宋体" w:hAnsi="宋体" w:cs="Arial"/>
                <w:color w:val="000000"/>
                <w:sz w:val="20"/>
                <w:szCs w:val="20"/>
              </w:rPr>
              <w:t>　</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2100799</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其他计划生育事务支出</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183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szCs w:val="20"/>
              </w:rPr>
            </w:pPr>
            <w:r>
              <w:rPr>
                <w:rFonts w:hint="eastAsia" w:ascii="宋体" w:hAnsi="宋体" w:cs="Arial"/>
                <w:color w:val="000000"/>
                <w:sz w:val="20"/>
                <w:szCs w:val="20"/>
              </w:rPr>
              <w:t>　</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221</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住房保障支出</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183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szCs w:val="20"/>
              </w:rPr>
            </w:pPr>
            <w:r>
              <w:rPr>
                <w:rFonts w:hint="eastAsia" w:ascii="宋体" w:hAnsi="宋体" w:cs="Arial"/>
                <w:color w:val="000000"/>
                <w:sz w:val="20"/>
                <w:szCs w:val="20"/>
              </w:rPr>
              <w:t>　</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22102</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住房改革支出</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183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szCs w:val="20"/>
              </w:rPr>
            </w:pPr>
            <w:r>
              <w:rPr>
                <w:rFonts w:hint="eastAsia" w:ascii="宋体" w:hAnsi="宋体" w:cs="Arial"/>
                <w:color w:val="000000"/>
                <w:sz w:val="20"/>
                <w:szCs w:val="20"/>
              </w:rPr>
              <w:t>　</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hint="default" w:ascii="宋体" w:hAnsi="宋体" w:eastAsia="宋体" w:cs="Arial"/>
                <w:color w:val="000000"/>
                <w:sz w:val="20"/>
                <w:szCs w:val="20"/>
                <w:lang w:val="en-US" w:eastAsia="zh-CN"/>
              </w:rPr>
            </w:pPr>
            <w:r>
              <w:rPr>
                <w:rFonts w:hint="eastAsia" w:ascii="宋体" w:hAnsi="宋体" w:cs="Arial"/>
                <w:color w:val="000000"/>
                <w:sz w:val="20"/>
                <w:szCs w:val="20"/>
                <w:lang w:val="en-US" w:eastAsia="zh-CN"/>
              </w:rPr>
              <w:t>2210201</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183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szCs w:val="20"/>
              </w:rPr>
            </w:pPr>
            <w:r>
              <w:rPr>
                <w:rFonts w:hint="eastAsia" w:ascii="宋体" w:hAnsi="宋体" w:cs="Arial"/>
                <w:color w:val="000000"/>
                <w:sz w:val="20"/>
                <w:szCs w:val="20"/>
              </w:rPr>
              <w:t>　</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bl>
    <w:p>
      <w:pPr>
        <w:tabs>
          <w:tab w:val="left" w:pos="3760"/>
        </w:tabs>
        <w:kinsoku w:val="0"/>
        <w:overflowPunct w:val="0"/>
        <w:spacing w:line="799" w:lineRule="exact"/>
        <w:ind w:left="1600"/>
        <w:rPr>
          <w:rFonts w:hint="eastAsia" w:ascii="黑体" w:hAnsi="黑体" w:eastAsia="黑体" w:cs="黑体"/>
          <w:sz w:val="48"/>
        </w:rPr>
      </w:pPr>
    </w:p>
    <w:p>
      <w:pPr>
        <w:tabs>
          <w:tab w:val="left" w:pos="3760"/>
        </w:tabs>
        <w:kinsoku w:val="0"/>
        <w:overflowPunct w:val="0"/>
        <w:spacing w:line="799" w:lineRule="exact"/>
        <w:ind w:left="1600"/>
        <w:rPr>
          <w:rFonts w:hint="eastAsia" w:ascii="黑体" w:hAnsi="黑体" w:eastAsia="黑体" w:cs="黑体"/>
          <w:sz w:val="48"/>
        </w:rPr>
      </w:pPr>
    </w:p>
    <w:tbl>
      <w:tblPr>
        <w:tblStyle w:val="4"/>
        <w:tblW w:w="0" w:type="auto"/>
        <w:jc w:val="center"/>
        <w:tblLayout w:type="fixed"/>
        <w:tblCellMar>
          <w:top w:w="0" w:type="dxa"/>
          <w:left w:w="108" w:type="dxa"/>
          <w:bottom w:w="0" w:type="dxa"/>
          <w:right w:w="108" w:type="dxa"/>
        </w:tblCellMar>
      </w:tblPr>
      <w:tblGrid>
        <w:gridCol w:w="416"/>
        <w:gridCol w:w="416"/>
        <w:gridCol w:w="608"/>
        <w:gridCol w:w="1836"/>
        <w:gridCol w:w="2010"/>
        <w:gridCol w:w="1959"/>
        <w:gridCol w:w="1991"/>
        <w:gridCol w:w="1701"/>
        <w:gridCol w:w="1985"/>
        <w:gridCol w:w="1977"/>
      </w:tblGrid>
      <w:tr>
        <w:tblPrEx>
          <w:tblCellMar>
            <w:top w:w="0" w:type="dxa"/>
            <w:left w:w="108" w:type="dxa"/>
            <w:bottom w:w="0" w:type="dxa"/>
            <w:right w:w="108" w:type="dxa"/>
          </w:tblCellMar>
        </w:tblPrEx>
        <w:trPr>
          <w:trHeight w:val="308" w:hRule="atLeast"/>
          <w:jc w:val="center"/>
        </w:trPr>
        <w:tc>
          <w:tcPr>
            <w:tcW w:w="3276"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201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9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99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上缴上级支出</w:t>
            </w:r>
          </w:p>
        </w:tc>
        <w:tc>
          <w:tcPr>
            <w:tcW w:w="1985"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经营支出</w:t>
            </w:r>
          </w:p>
        </w:tc>
        <w:tc>
          <w:tcPr>
            <w:tcW w:w="1977" w:type="dxa"/>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对附属单位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补助支出</w:t>
            </w:r>
          </w:p>
        </w:tc>
      </w:tr>
      <w:tr>
        <w:tblPrEx>
          <w:tblCellMar>
            <w:top w:w="0" w:type="dxa"/>
            <w:left w:w="108" w:type="dxa"/>
            <w:bottom w:w="0" w:type="dxa"/>
            <w:right w:w="108" w:type="dxa"/>
          </w:tblCellMar>
        </w:tblPrEx>
        <w:trPr>
          <w:trHeight w:val="780"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183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201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9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77"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jc w:val="center"/>
        </w:trPr>
        <w:tc>
          <w:tcPr>
            <w:tcW w:w="416"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60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183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201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9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9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977"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nil"/>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nil"/>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single" w:color="auto"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single" w:color="auto" w:sz="4" w:space="0"/>
              <w:left w:val="nil"/>
              <w:bottom w:val="single" w:color="auto" w:sz="4" w:space="0"/>
              <w:right w:val="nil"/>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single" w:color="000000" w:sz="4" w:space="0"/>
              <w:left w:val="nil"/>
              <w:bottom w:val="single" w:color="auto"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70" w:hRule="atLeast"/>
          <w:jc w:val="center"/>
        </w:trPr>
        <w:tc>
          <w:tcPr>
            <w:tcW w:w="1440"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8"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0" w:hRule="atLeast"/>
          <w:jc w:val="center"/>
        </w:trPr>
        <w:tc>
          <w:tcPr>
            <w:tcW w:w="14899" w:type="dxa"/>
            <w:gridSpan w:val="10"/>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注：本表反映部门本年度各项支出情况。</w:t>
            </w:r>
          </w:p>
        </w:tc>
      </w:tr>
    </w:tbl>
    <w:p>
      <w:pPr>
        <w:tabs>
          <w:tab w:val="left" w:pos="3760"/>
        </w:tabs>
        <w:kinsoku w:val="0"/>
        <w:overflowPunct w:val="0"/>
        <w:spacing w:line="799" w:lineRule="exact"/>
        <w:ind w:left="1600"/>
        <w:jc w:val="center"/>
        <w:rPr>
          <w:rFonts w:ascii="黑体" w:hAnsi="黑体" w:eastAsia="黑体" w:cs="黑体"/>
          <w:sz w:val="48"/>
        </w:rPr>
        <w:sectPr>
          <w:pgSz w:w="16840" w:h="11906" w:orient="landscape"/>
          <w:pgMar w:top="680" w:right="851" w:bottom="680" w:left="1134" w:header="0" w:footer="953" w:gutter="0"/>
          <w:lnNumType w:countBy="0" w:distance="360"/>
          <w:cols w:space="720" w:num="1"/>
        </w:sectPr>
      </w:pPr>
    </w:p>
    <w:tbl>
      <w:tblPr>
        <w:tblStyle w:val="4"/>
        <w:tblW w:w="0" w:type="auto"/>
        <w:tblInd w:w="93" w:type="dxa"/>
        <w:tblLayout w:type="fixed"/>
        <w:tblCellMar>
          <w:top w:w="0" w:type="dxa"/>
          <w:left w:w="108" w:type="dxa"/>
          <w:bottom w:w="0" w:type="dxa"/>
          <w:right w:w="108" w:type="dxa"/>
        </w:tblCellMar>
      </w:tblPr>
      <w:tblGrid>
        <w:gridCol w:w="2567"/>
        <w:gridCol w:w="567"/>
        <w:gridCol w:w="420"/>
        <w:gridCol w:w="594"/>
        <w:gridCol w:w="970"/>
        <w:gridCol w:w="2694"/>
        <w:gridCol w:w="567"/>
        <w:gridCol w:w="1226"/>
        <w:gridCol w:w="594"/>
        <w:gridCol w:w="164"/>
        <w:gridCol w:w="376"/>
        <w:gridCol w:w="1472"/>
        <w:gridCol w:w="2688"/>
      </w:tblGrid>
      <w:tr>
        <w:tblPrEx>
          <w:tblCellMar>
            <w:top w:w="0" w:type="dxa"/>
            <w:left w:w="108" w:type="dxa"/>
            <w:bottom w:w="0" w:type="dxa"/>
            <w:right w:w="108" w:type="dxa"/>
          </w:tblCellMar>
        </w:tblPrEx>
        <w:trPr>
          <w:trHeight w:val="465" w:hRule="atLeast"/>
        </w:trPr>
        <w:tc>
          <w:tcPr>
            <w:tcW w:w="14899" w:type="dxa"/>
            <w:gridSpan w:val="13"/>
            <w:tcBorders>
              <w:top w:val="nil"/>
              <w:left w:val="nil"/>
              <w:bottom w:val="nil"/>
              <w:right w:val="nil"/>
            </w:tcBorders>
            <w:noWrap w:val="0"/>
            <w:vAlign w:val="bottom"/>
          </w:tcPr>
          <w:p>
            <w:pPr>
              <w:pStyle w:val="2"/>
              <w:ind w:left="0"/>
              <w:jc w:val="center"/>
              <w:rPr>
                <w:lang w:val="en-US" w:eastAsia="zh-CN"/>
              </w:rPr>
            </w:pPr>
            <w:bookmarkStart w:id="3" w:name="_Toc49239084"/>
            <w:r>
              <w:rPr>
                <w:lang w:val="en-US" w:eastAsia="zh-CN"/>
              </w:rPr>
              <w:t>四、财政拨款收入支出决算总表</w:t>
            </w:r>
            <w:bookmarkEnd w:id="3"/>
          </w:p>
        </w:tc>
      </w:tr>
      <w:tr>
        <w:tblPrEx>
          <w:tblCellMar>
            <w:top w:w="0" w:type="dxa"/>
            <w:left w:w="108" w:type="dxa"/>
            <w:bottom w:w="0" w:type="dxa"/>
            <w:right w:w="108" w:type="dxa"/>
          </w:tblCellMar>
        </w:tblPrEx>
        <w:trPr>
          <w:trHeight w:val="270" w:hRule="atLeast"/>
        </w:trPr>
        <w:tc>
          <w:tcPr>
            <w:tcW w:w="3554" w:type="dxa"/>
            <w:gridSpan w:val="3"/>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59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xml:space="preserve"> </w:t>
            </w:r>
          </w:p>
        </w:tc>
        <w:tc>
          <w:tcPr>
            <w:tcW w:w="97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487" w:type="dxa"/>
            <w:gridSpan w:val="3"/>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9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40" w:type="dxa"/>
            <w:gridSpan w:val="2"/>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4160" w:type="dxa"/>
            <w:gridSpan w:val="2"/>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trHeight w:val="259" w:hRule="atLeast"/>
        </w:trPr>
        <w:tc>
          <w:tcPr>
            <w:tcW w:w="5118" w:type="dxa"/>
            <w:gridSpan w:val="5"/>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收     入</w:t>
            </w:r>
          </w:p>
        </w:tc>
        <w:tc>
          <w:tcPr>
            <w:tcW w:w="9781" w:type="dxa"/>
            <w:gridSpan w:val="8"/>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     出</w:t>
            </w:r>
          </w:p>
        </w:tc>
      </w:tr>
      <w:tr>
        <w:tblPrEx>
          <w:tblCellMar>
            <w:top w:w="0" w:type="dxa"/>
            <w:left w:w="108" w:type="dxa"/>
            <w:bottom w:w="0" w:type="dxa"/>
            <w:right w:w="108" w:type="dxa"/>
          </w:tblCellMar>
        </w:tblPrEx>
        <w:trPr>
          <w:trHeight w:val="259" w:hRule="atLeast"/>
        </w:trPr>
        <w:tc>
          <w:tcPr>
            <w:tcW w:w="2567"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    目</w:t>
            </w:r>
          </w:p>
        </w:tc>
        <w:tc>
          <w:tcPr>
            <w:tcW w:w="56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1984" w:type="dxa"/>
            <w:gridSpan w:val="3"/>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c>
          <w:tcPr>
            <w:tcW w:w="2694"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项目</w:t>
            </w:r>
          </w:p>
        </w:tc>
        <w:tc>
          <w:tcPr>
            <w:tcW w:w="56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652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r>
      <w:tr>
        <w:tblPrEx>
          <w:tblCellMar>
            <w:top w:w="0" w:type="dxa"/>
            <w:left w:w="108" w:type="dxa"/>
            <w:bottom w:w="0" w:type="dxa"/>
            <w:right w:w="108" w:type="dxa"/>
          </w:tblCellMar>
        </w:tblPrEx>
        <w:trPr>
          <w:trHeight w:val="253" w:hRule="atLeast"/>
        </w:trPr>
        <w:tc>
          <w:tcPr>
            <w:tcW w:w="2567"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4" w:type="dxa"/>
            <w:gridSpan w:val="3"/>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2694"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小计</w:t>
            </w:r>
          </w:p>
        </w:tc>
        <w:tc>
          <w:tcPr>
            <w:tcW w:w="184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一般公共预算财政拨款</w:t>
            </w:r>
          </w:p>
        </w:tc>
        <w:tc>
          <w:tcPr>
            <w:tcW w:w="268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政府性基金预算财政拨款</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84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268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一、一般公共预算财政拨款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7,424,045.97</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二、政府性基金预算财政拨款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7,245,539.97</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7,245,539.97</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十四、资源勘探信息等支出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二十一、灾害防治及应急管理支出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二十二、其他支出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二十三、债务还本支出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24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rPr>
            </w:pPr>
            <w:r>
              <w:rPr>
                <w:rFonts w:hint="eastAsia" w:ascii="宋体" w:hAnsi="宋体" w:cs="Arial"/>
                <w:color w:val="000000"/>
                <w:sz w:val="16"/>
                <w:szCs w:val="16"/>
              </w:rPr>
              <w:t>二十四、债务付息支出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54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7,424,045.97</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本年支出合计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7,424,045.97</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7,424,045.97</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年初财政拨款结转和结余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年末财政拨款结转和结余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一、一般公共预算财政拨款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二、政府性基金预算财政拨款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auto"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p>
        </w:tc>
        <w:tc>
          <w:tcPr>
            <w:tcW w:w="567"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29</w:t>
            </w:r>
          </w:p>
        </w:tc>
        <w:tc>
          <w:tcPr>
            <w:tcW w:w="1984" w:type="dxa"/>
            <w:gridSpan w:val="3"/>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xml:space="preserve">  </w:t>
            </w:r>
          </w:p>
        </w:tc>
        <w:tc>
          <w:tcPr>
            <w:tcW w:w="567"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59</w:t>
            </w:r>
          </w:p>
        </w:tc>
        <w:tc>
          <w:tcPr>
            <w:tcW w:w="1984" w:type="dxa"/>
            <w:gridSpan w:val="3"/>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总计</w:t>
            </w:r>
          </w:p>
        </w:tc>
        <w:tc>
          <w:tcPr>
            <w:tcW w:w="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w:t>
            </w:r>
          </w:p>
        </w:tc>
        <w:tc>
          <w:tcPr>
            <w:tcW w:w="198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7,424,045.97</w:t>
            </w:r>
          </w:p>
        </w:tc>
        <w:tc>
          <w:tcPr>
            <w:tcW w:w="269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总计</w:t>
            </w:r>
          </w:p>
        </w:tc>
        <w:tc>
          <w:tcPr>
            <w:tcW w:w="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60</w:t>
            </w:r>
          </w:p>
        </w:tc>
        <w:tc>
          <w:tcPr>
            <w:tcW w:w="198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7,424,045.97</w:t>
            </w:r>
          </w:p>
        </w:tc>
        <w:tc>
          <w:tcPr>
            <w:tcW w:w="1848"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7,424,045.97</w:t>
            </w:r>
          </w:p>
        </w:tc>
        <w:tc>
          <w:tcPr>
            <w:tcW w:w="268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14899" w:type="dxa"/>
            <w:gridSpan w:val="13"/>
            <w:tcBorders>
              <w:top w:val="single" w:color="auto" w:sz="4" w:space="0"/>
              <w:bottom w:val="nil"/>
              <w:right w:val="nil"/>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注：本表反映部门本年度一般公共预算财政拨款和政府性基金预算财政拨款的总收支和年末结转结余情况。</w:t>
            </w:r>
          </w:p>
        </w:tc>
      </w:tr>
    </w:tbl>
    <w:p>
      <w:pPr>
        <w:tabs>
          <w:tab w:val="left" w:pos="3760"/>
        </w:tabs>
        <w:kinsoku w:val="0"/>
        <w:overflowPunct w:val="0"/>
        <w:spacing w:line="799" w:lineRule="exact"/>
        <w:rPr>
          <w:rFonts w:ascii="黑体" w:hAnsi="黑体" w:eastAsia="黑体" w:cs="黑体"/>
          <w:sz w:val="48"/>
        </w:rPr>
        <w:sectPr>
          <w:pgSz w:w="16840" w:h="11906" w:orient="landscape"/>
          <w:pgMar w:top="567" w:right="851" w:bottom="567" w:left="1134" w:header="0" w:footer="509" w:gutter="0"/>
          <w:lnNumType w:countBy="0" w:distance="360"/>
          <w:cols w:space="720" w:num="1"/>
        </w:sectPr>
      </w:pPr>
    </w:p>
    <w:tbl>
      <w:tblPr>
        <w:tblStyle w:val="4"/>
        <w:tblW w:w="0" w:type="auto"/>
        <w:tblInd w:w="93" w:type="dxa"/>
        <w:shd w:val="clear" w:color="auto" w:fill="FFFFFF"/>
        <w:tblLayout w:type="fixed"/>
        <w:tblCellMar>
          <w:top w:w="0" w:type="dxa"/>
          <w:left w:w="108" w:type="dxa"/>
          <w:bottom w:w="0" w:type="dxa"/>
          <w:right w:w="108" w:type="dxa"/>
        </w:tblCellMar>
      </w:tblPr>
      <w:tblGrid>
        <w:gridCol w:w="416"/>
        <w:gridCol w:w="416"/>
        <w:gridCol w:w="416"/>
        <w:gridCol w:w="99"/>
        <w:gridCol w:w="2354"/>
        <w:gridCol w:w="1984"/>
        <w:gridCol w:w="2127"/>
        <w:gridCol w:w="2129"/>
      </w:tblGrid>
      <w:tr>
        <w:tblPrEx>
          <w:shd w:val="clear" w:color="auto" w:fill="FFFFFF"/>
          <w:tblCellMar>
            <w:top w:w="0" w:type="dxa"/>
            <w:left w:w="108" w:type="dxa"/>
            <w:bottom w:w="0" w:type="dxa"/>
            <w:right w:w="108" w:type="dxa"/>
          </w:tblCellMar>
        </w:tblPrEx>
        <w:trPr>
          <w:trHeight w:val="405" w:hRule="atLeast"/>
        </w:trPr>
        <w:tc>
          <w:tcPr>
            <w:tcW w:w="9941" w:type="dxa"/>
            <w:gridSpan w:val="8"/>
            <w:tcBorders>
              <w:top w:val="nil"/>
              <w:left w:val="nil"/>
              <w:bottom w:val="nil"/>
              <w:right w:val="nil"/>
            </w:tcBorders>
            <w:shd w:val="clear" w:color="auto" w:fill="FFFFFF"/>
            <w:noWrap w:val="0"/>
            <w:vAlign w:val="bottom"/>
          </w:tcPr>
          <w:p>
            <w:pPr>
              <w:pStyle w:val="2"/>
              <w:ind w:left="0"/>
              <w:jc w:val="center"/>
              <w:rPr>
                <w:lang w:val="en-US" w:eastAsia="zh-CN"/>
              </w:rPr>
            </w:pPr>
            <w:bookmarkStart w:id="4" w:name="_Toc49239085"/>
            <w:r>
              <w:rPr>
                <w:lang w:val="en-US" w:eastAsia="zh-CN"/>
              </w:rPr>
              <w:t>五、一般公共预算财政拨款支出决算表（一）</w:t>
            </w:r>
            <w:bookmarkEnd w:id="4"/>
          </w:p>
        </w:tc>
      </w:tr>
      <w:tr>
        <w:tblPrEx>
          <w:shd w:val="clear" w:color="auto" w:fill="FFFFFF"/>
          <w:tblCellMar>
            <w:top w:w="0" w:type="dxa"/>
            <w:left w:w="108" w:type="dxa"/>
            <w:bottom w:w="0" w:type="dxa"/>
            <w:right w:w="108" w:type="dxa"/>
          </w:tblCellMar>
        </w:tblPrEx>
        <w:trPr>
          <w:trHeight w:val="315" w:hRule="atLeast"/>
        </w:trPr>
        <w:tc>
          <w:tcPr>
            <w:tcW w:w="416" w:type="dxa"/>
            <w:tcBorders>
              <w:top w:val="nil"/>
              <w:left w:val="nil"/>
              <w:bottom w:val="nil"/>
              <w:right w:val="nil"/>
            </w:tcBorders>
            <w:shd w:val="clear" w:color="auto" w:fill="FFFFFF"/>
            <w:noWrap w:val="0"/>
            <w:vAlign w:val="bottom"/>
          </w:tcPr>
          <w:p>
            <w:pPr>
              <w:widowControl/>
              <w:autoSpaceDE/>
              <w:autoSpaceDN/>
              <w:adjustRightInd/>
              <w:rPr>
                <w:rFonts w:ascii="宋体" w:hAnsi="宋体" w:cs="Arial"/>
                <w:color w:val="000000"/>
                <w:szCs w:val="24"/>
              </w:rPr>
            </w:pPr>
          </w:p>
        </w:tc>
        <w:tc>
          <w:tcPr>
            <w:tcW w:w="416"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515" w:type="dxa"/>
            <w:gridSpan w:val="2"/>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2354"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1984" w:type="dxa"/>
            <w:tcBorders>
              <w:top w:val="nil"/>
              <w:left w:val="nil"/>
              <w:bottom w:val="single" w:color="auto" w:sz="8" w:space="0"/>
              <w:right w:val="nil"/>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4256" w:type="dxa"/>
            <w:gridSpan w:val="2"/>
            <w:tcBorders>
              <w:top w:val="nil"/>
              <w:left w:val="nil"/>
              <w:bottom w:val="single" w:color="auto" w:sz="8" w:space="0"/>
              <w:right w:val="nil"/>
            </w:tcBorders>
            <w:shd w:val="clear" w:color="auto" w:fill="FFFFFF"/>
            <w:noWrap w:val="0"/>
            <w:vAlign w:val="bottom"/>
          </w:tcPr>
          <w:p>
            <w:pPr>
              <w:widowControl/>
              <w:autoSpaceDE/>
              <w:autoSpaceDN/>
              <w:adjustRightInd/>
              <w:jc w:val="right"/>
              <w:rPr>
                <w:rFonts w:ascii="宋体" w:hAnsi="宋体" w:cs="Arial"/>
                <w:color w:val="000000"/>
                <w:sz w:val="22"/>
                <w:szCs w:val="22"/>
              </w:rPr>
            </w:pPr>
            <w:r>
              <w:rPr>
                <w:rFonts w:hint="eastAsia" w:ascii="宋体" w:hAnsi="宋体" w:cs="Arial"/>
                <w:color w:val="000000"/>
                <w:sz w:val="22"/>
                <w:szCs w:val="22"/>
              </w:rPr>
              <w:t>金额单位：元</w:t>
            </w:r>
          </w:p>
        </w:tc>
      </w:tr>
      <w:tr>
        <w:tblPrEx>
          <w:shd w:val="clear" w:color="auto" w:fill="FFFFFF"/>
          <w:tblCellMar>
            <w:top w:w="0" w:type="dxa"/>
            <w:left w:w="108" w:type="dxa"/>
            <w:bottom w:w="0" w:type="dxa"/>
            <w:right w:w="108" w:type="dxa"/>
          </w:tblCellMar>
        </w:tblPrEx>
        <w:trPr>
          <w:trHeight w:val="300" w:hRule="atLeast"/>
        </w:trPr>
        <w:tc>
          <w:tcPr>
            <w:tcW w:w="3701" w:type="dxa"/>
            <w:gridSpan w:val="5"/>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984" w:type="dxa"/>
            <w:vMerge w:val="restart"/>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2127"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2129"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r>
      <w:tr>
        <w:tblPrEx>
          <w:shd w:val="clear" w:color="auto" w:fill="FFFFFF"/>
          <w:tblCellMar>
            <w:top w:w="0" w:type="dxa"/>
            <w:left w:w="108" w:type="dxa"/>
            <w:bottom w:w="0" w:type="dxa"/>
            <w:right w:w="108" w:type="dxa"/>
          </w:tblCellMar>
        </w:tblPrEx>
        <w:trPr>
          <w:trHeight w:val="540"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453" w:type="dxa"/>
            <w:gridSpan w:val="2"/>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984" w:type="dxa"/>
            <w:vMerge w:val="continue"/>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2127"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2129"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416" w:type="dxa"/>
            <w:vMerge w:val="restart"/>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27"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2129"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r>
      <w:tr>
        <w:tblPrEx>
          <w:shd w:val="clear" w:color="auto" w:fill="FFFFFF"/>
          <w:tblCellMar>
            <w:top w:w="0" w:type="dxa"/>
            <w:left w:w="108" w:type="dxa"/>
            <w:bottom w:w="0" w:type="dxa"/>
            <w:right w:w="108" w:type="dxa"/>
          </w:tblCellMar>
        </w:tblPrEx>
        <w:trPr>
          <w:trHeight w:val="282" w:hRule="atLeast"/>
        </w:trPr>
        <w:tc>
          <w:tcPr>
            <w:tcW w:w="416" w:type="dxa"/>
            <w:vMerge w:val="continue"/>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7,424,045.97</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2,192,093.44</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5,231,952.53</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7,245,539.97</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2,013,587.44</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5,231,952.53</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20801</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人力资源和社会保障管理事务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1,909,757.68</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1,809,757.68</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2080111</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公共就业服务和职业技能鉴定机构</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1,909,757.68</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1,809,757.68</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20805</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203,829.76</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203,829.76</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hint="default" w:ascii="Arial" w:hAnsi="Arial" w:eastAsia="宋体" w:cs="Arial"/>
                <w:color w:val="000000"/>
                <w:sz w:val="20"/>
                <w:lang w:val="en-US" w:eastAsia="zh-CN"/>
              </w:rPr>
            </w:pPr>
            <w:r>
              <w:rPr>
                <w:rFonts w:ascii="Arial" w:hAnsi="Arial" w:cs="Arial"/>
                <w:color w:val="000000"/>
                <w:sz w:val="20"/>
              </w:rPr>
              <w:t>　</w:t>
            </w:r>
            <w:r>
              <w:rPr>
                <w:rFonts w:hint="eastAsia" w:ascii="Arial" w:hAnsi="Arial" w:cs="Arial"/>
                <w:color w:val="000000"/>
                <w:sz w:val="20"/>
                <w:lang w:val="en-US" w:eastAsia="zh-CN"/>
              </w:rPr>
              <w:t xml:space="preserve">             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2080502</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11,200.00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11,200.00</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ind w:firstLine="1200" w:firstLineChars="600"/>
              <w:jc w:val="right"/>
              <w:rPr>
                <w:rFonts w:hint="default" w:ascii="Arial" w:hAnsi="Arial" w:eastAsia="宋体" w:cs="Arial"/>
                <w:color w:val="000000"/>
                <w:sz w:val="20"/>
                <w:lang w:val="en-US" w:eastAsia="zh-CN"/>
              </w:rPr>
            </w:pPr>
            <w:r>
              <w:rPr>
                <w:rFonts w:ascii="Arial" w:hAnsi="Arial" w:cs="Arial"/>
                <w:color w:val="000000"/>
                <w:sz w:val="20"/>
              </w:rPr>
              <w:t>　</w:t>
            </w:r>
            <w:r>
              <w:rPr>
                <w:rFonts w:hint="eastAsia" w:ascii="Arial" w:hAnsi="Arial" w:cs="Arial"/>
                <w:color w:val="000000"/>
                <w:sz w:val="20"/>
                <w:lang w:val="en-US" w:eastAsia="zh-CN"/>
              </w:rPr>
              <w:t>0.00</w:t>
            </w:r>
          </w:p>
        </w:tc>
      </w:tr>
      <w:tr>
        <w:tblPrEx>
          <w:shd w:val="clear" w:color="auto" w:fill="FFFFFF"/>
          <w:tblCellMar>
            <w:top w:w="0" w:type="dxa"/>
            <w:left w:w="108" w:type="dxa"/>
            <w:bottom w:w="0" w:type="dxa"/>
            <w:right w:w="108" w:type="dxa"/>
          </w:tblCellMar>
        </w:tblPrEx>
        <w:trPr>
          <w:trHeight w:val="485"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2080505</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192,629.76</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192,629.76</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ind w:left="1400" w:hanging="1400" w:hangingChars="700"/>
              <w:jc w:val="right"/>
              <w:rPr>
                <w:rFonts w:hint="default" w:ascii="Arial" w:hAnsi="Arial" w:eastAsia="宋体" w:cs="Arial"/>
                <w:color w:val="000000"/>
                <w:sz w:val="20"/>
                <w:lang w:val="en-US" w:eastAsia="zh-CN"/>
              </w:rPr>
            </w:pPr>
            <w:r>
              <w:rPr>
                <w:rFonts w:ascii="Arial" w:hAnsi="Arial" w:cs="Arial"/>
                <w:color w:val="000000"/>
                <w:sz w:val="20"/>
              </w:rPr>
              <w:t>　</w:t>
            </w:r>
            <w:r>
              <w:rPr>
                <w:rFonts w:hint="eastAsia" w:ascii="Arial" w:hAnsi="Arial" w:cs="Arial"/>
                <w:color w:val="000000"/>
                <w:sz w:val="20"/>
                <w:lang w:val="en-US" w:eastAsia="zh-CN"/>
              </w:rPr>
              <w:t xml:space="preserve">              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20899</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其他社会保障和就业支出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5,131,952.53</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ind w:firstLine="1200" w:firstLineChars="600"/>
              <w:rPr>
                <w:rFonts w:hint="default" w:ascii="Arial" w:hAnsi="Arial" w:eastAsia="宋体" w:cs="Arial"/>
                <w:color w:val="000000"/>
                <w:sz w:val="20"/>
                <w:lang w:val="en-US" w:eastAsia="zh-CN"/>
              </w:rPr>
            </w:pPr>
            <w:r>
              <w:rPr>
                <w:rFonts w:ascii="Arial" w:hAnsi="Arial" w:cs="Arial"/>
                <w:color w:val="000000"/>
                <w:sz w:val="20"/>
              </w:rPr>
              <w:t>　</w:t>
            </w:r>
            <w:r>
              <w:rPr>
                <w:rFonts w:hint="eastAsia" w:ascii="Arial" w:hAnsi="Arial" w:cs="Arial"/>
                <w:color w:val="000000"/>
                <w:sz w:val="20"/>
                <w:lang w:val="en-US" w:eastAsia="zh-CN"/>
              </w:rPr>
              <w:t>0.00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5,131,952.53</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2089901</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其他社会保障和就业支出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5,131,952.53</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hint="default" w:ascii="Arial" w:hAnsi="Arial" w:eastAsia="宋体" w:cs="Arial"/>
                <w:color w:val="000000"/>
                <w:sz w:val="20"/>
                <w:lang w:val="en-US" w:eastAsia="zh-CN"/>
              </w:rPr>
            </w:pPr>
            <w:r>
              <w:rPr>
                <w:rFonts w:ascii="Arial" w:hAnsi="Arial" w:cs="Arial"/>
                <w:color w:val="000000"/>
                <w:sz w:val="20"/>
              </w:rPr>
              <w:t>　</w:t>
            </w:r>
            <w:r>
              <w:rPr>
                <w:rFonts w:hint="eastAsia" w:ascii="Arial" w:hAnsi="Arial" w:cs="Arial"/>
                <w:color w:val="000000"/>
                <w:sz w:val="20"/>
                <w:lang w:val="en-US" w:eastAsia="zh-CN"/>
              </w:rPr>
              <w:t xml:space="preserve">            0.00 </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5,131,952.53</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210</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卫生健康支出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hint="default" w:ascii="Arial" w:hAnsi="Arial" w:eastAsia="宋体" w:cs="Arial"/>
                <w:color w:val="000000"/>
                <w:sz w:val="20"/>
                <w:lang w:val="en-US" w:eastAsia="zh-CN"/>
              </w:rPr>
            </w:pPr>
            <w:r>
              <w:rPr>
                <w:rFonts w:ascii="Arial" w:hAnsi="Arial" w:cs="Arial"/>
                <w:color w:val="000000"/>
                <w:sz w:val="20"/>
              </w:rPr>
              <w:t>　</w:t>
            </w:r>
            <w:r>
              <w:rPr>
                <w:rFonts w:hint="eastAsia" w:ascii="Arial" w:hAnsi="Arial" w:cs="Arial"/>
                <w:color w:val="000000"/>
                <w:sz w:val="20"/>
                <w:lang w:val="en-US" w:eastAsia="zh-CN"/>
              </w:rPr>
              <w:t xml:space="preserve">             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21007</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计划生育事务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hint="default" w:ascii="Arial" w:hAnsi="Arial" w:eastAsia="宋体" w:cs="Arial"/>
                <w:color w:val="000000"/>
                <w:sz w:val="20"/>
                <w:lang w:val="en-US" w:eastAsia="zh-CN"/>
              </w:rPr>
            </w:pPr>
            <w:r>
              <w:rPr>
                <w:rFonts w:ascii="Arial" w:hAnsi="Arial" w:cs="Arial"/>
                <w:color w:val="000000"/>
                <w:sz w:val="20"/>
              </w:rPr>
              <w:t>　</w:t>
            </w:r>
            <w:r>
              <w:rPr>
                <w:rFonts w:hint="eastAsia" w:ascii="Arial" w:hAnsi="Arial" w:cs="Arial"/>
                <w:color w:val="000000"/>
                <w:sz w:val="20"/>
                <w:lang w:val="en-US" w:eastAsia="zh-CN"/>
              </w:rPr>
              <w:t xml:space="preserve">             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2100799</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其他计划生育事务支出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1,200.00</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hint="default" w:ascii="Arial" w:hAnsi="Arial" w:eastAsia="宋体" w:cs="Arial"/>
                <w:color w:val="000000"/>
                <w:sz w:val="20"/>
                <w:lang w:val="en-US" w:eastAsia="zh-CN"/>
              </w:rPr>
            </w:pPr>
            <w:r>
              <w:rPr>
                <w:rFonts w:ascii="Arial" w:hAnsi="Arial" w:cs="Arial"/>
                <w:color w:val="000000"/>
                <w:sz w:val="20"/>
              </w:rPr>
              <w:t>　</w:t>
            </w:r>
            <w:r>
              <w:rPr>
                <w:rFonts w:hint="eastAsia" w:ascii="Arial" w:hAnsi="Arial" w:cs="Arial"/>
                <w:color w:val="000000"/>
                <w:sz w:val="20"/>
                <w:lang w:val="en-US" w:eastAsia="zh-CN"/>
              </w:rPr>
              <w:t xml:space="preserve">            0.00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221</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住房保障支出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hint="default" w:ascii="Arial" w:hAnsi="Arial" w:eastAsia="宋体" w:cs="Arial"/>
                <w:color w:val="000000"/>
                <w:sz w:val="20"/>
                <w:lang w:val="en-US" w:eastAsia="zh-CN"/>
              </w:rPr>
            </w:pPr>
            <w:r>
              <w:rPr>
                <w:rFonts w:ascii="Arial" w:hAnsi="Arial" w:cs="Arial"/>
                <w:color w:val="000000"/>
                <w:sz w:val="20"/>
              </w:rPr>
              <w:t>　</w:t>
            </w:r>
            <w:r>
              <w:rPr>
                <w:rFonts w:hint="eastAsia" w:ascii="Arial" w:hAnsi="Arial" w:cs="Arial"/>
                <w:color w:val="000000"/>
                <w:sz w:val="20"/>
                <w:lang w:val="en-US" w:eastAsia="zh-CN"/>
              </w:rPr>
              <w:t>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22102</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住房改革支出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hint="default" w:ascii="Arial" w:hAnsi="Arial" w:eastAsia="宋体" w:cs="Arial"/>
                <w:color w:val="000000"/>
                <w:sz w:val="20"/>
                <w:lang w:val="en-US" w:eastAsia="zh-CN"/>
              </w:rPr>
            </w:pPr>
            <w:r>
              <w:rPr>
                <w:rFonts w:ascii="Arial" w:hAnsi="Arial" w:cs="Arial"/>
                <w:color w:val="000000"/>
                <w:sz w:val="20"/>
              </w:rPr>
              <w:t>　</w:t>
            </w:r>
            <w:r>
              <w:rPr>
                <w:rFonts w:hint="eastAsia" w:ascii="Arial" w:hAnsi="Arial" w:cs="Arial"/>
                <w:color w:val="000000"/>
                <w:sz w:val="20"/>
                <w:lang w:val="en-US" w:eastAsia="zh-CN"/>
              </w:rPr>
              <w:t>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hint="default" w:ascii="宋体" w:hAnsi="宋体" w:eastAsia="宋体" w:cs="Arial"/>
                <w:color w:val="000000"/>
                <w:sz w:val="20"/>
                <w:lang w:val="en-US" w:eastAsia="zh-CN"/>
              </w:rPr>
            </w:pPr>
            <w:r>
              <w:rPr>
                <w:rFonts w:hint="eastAsia" w:ascii="宋体" w:hAnsi="宋体" w:cs="Arial"/>
                <w:color w:val="000000"/>
                <w:sz w:val="20"/>
                <w:lang w:val="en-US" w:eastAsia="zh-CN"/>
              </w:rPr>
              <w:t>2210201</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177,306.00</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right"/>
              <w:rPr>
                <w:rFonts w:hint="default" w:ascii="Arial" w:hAnsi="Arial" w:eastAsia="宋体" w:cs="Arial"/>
                <w:color w:val="000000"/>
                <w:sz w:val="20"/>
                <w:lang w:val="en-US" w:eastAsia="zh-CN"/>
              </w:rPr>
            </w:pPr>
            <w:r>
              <w:rPr>
                <w:rFonts w:ascii="Arial" w:hAnsi="Arial" w:cs="Arial"/>
                <w:color w:val="000000"/>
                <w:sz w:val="20"/>
              </w:rPr>
              <w:t>　</w:t>
            </w:r>
            <w:r>
              <w:rPr>
                <w:rFonts w:hint="eastAsia" w:ascii="Arial" w:hAnsi="Arial" w:cs="Arial"/>
                <w:color w:val="000000"/>
                <w:sz w:val="20"/>
                <w:lang w:val="en-US" w:eastAsia="zh-CN"/>
              </w:rPr>
              <w:t>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nil"/>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nil"/>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nil"/>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single" w:color="000000" w:sz="4" w:space="0"/>
              <w:left w:val="nil"/>
              <w:bottom w:val="nil"/>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single" w:color="auto" w:sz="4" w:space="0"/>
              <w:left w:val="single" w:color="auto" w:sz="4" w:space="0"/>
              <w:bottom w:val="nil"/>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2127"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2129"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tblCellMar>
            <w:top w:w="0" w:type="dxa"/>
            <w:left w:w="108" w:type="dxa"/>
            <w:bottom w:w="0" w:type="dxa"/>
            <w:right w:w="108" w:type="dxa"/>
          </w:tblCellMar>
        </w:tblPrEx>
        <w:trPr>
          <w:trHeight w:val="282" w:hRule="atLeast"/>
        </w:trPr>
        <w:tc>
          <w:tcPr>
            <w:tcW w:w="9941" w:type="dxa"/>
            <w:gridSpan w:val="8"/>
            <w:tcBorders>
              <w:top w:val="single" w:color="auto" w:sz="8" w:space="0"/>
              <w:left w:val="nil"/>
              <w:bottom w:val="nil"/>
              <w:right w:val="nil"/>
            </w:tcBorders>
            <w:shd w:val="clear" w:color="auto" w:fill="FFFFFF"/>
            <w:noWrap w:val="0"/>
            <w:vAlign w:val="bottom"/>
          </w:tcPr>
          <w:p>
            <w:pPr>
              <w:widowControl/>
              <w:autoSpaceDE/>
              <w:autoSpaceDN/>
              <w:adjustRightInd/>
              <w:rPr>
                <w:rFonts w:hint="eastAsia" w:ascii="宋体" w:hAnsi="宋体" w:cs="Arial"/>
                <w:color w:val="000000"/>
                <w:sz w:val="20"/>
              </w:rPr>
            </w:pPr>
            <w:r>
              <w:rPr>
                <w:rFonts w:hint="eastAsia" w:ascii="宋体" w:hAnsi="宋体" w:cs="Arial"/>
                <w:color w:val="000000"/>
                <w:sz w:val="20"/>
              </w:rPr>
              <w:t>注：本表反映部门本年度一般公共预算财政拨款支出情况。</w:t>
            </w:r>
          </w:p>
          <w:p>
            <w:pPr>
              <w:widowControl/>
              <w:autoSpaceDE/>
              <w:autoSpaceDN/>
              <w:adjustRightInd/>
              <w:rPr>
                <w:rFonts w:ascii="宋体" w:hAnsi="宋体" w:cs="Arial"/>
                <w:color w:val="000000"/>
                <w:sz w:val="20"/>
              </w:rPr>
            </w:pPr>
          </w:p>
        </w:tc>
      </w:tr>
    </w:tbl>
    <w:p>
      <w:pPr>
        <w:sectPr>
          <w:headerReference r:id="rId4" w:type="default"/>
          <w:pgSz w:w="11906" w:h="16840"/>
          <w:pgMar w:top="1134" w:right="1021" w:bottom="1134" w:left="1021" w:header="0" w:footer="510" w:gutter="0"/>
          <w:lnNumType w:countBy="0" w:distance="360"/>
          <w:cols w:space="720" w:num="1"/>
          <w:docGrid w:linePitch="326" w:charSpace="0"/>
        </w:sectPr>
      </w:pPr>
      <w:bookmarkStart w:id="14" w:name="_GoBack"/>
      <w:bookmarkEnd w:id="14"/>
    </w:p>
    <w:p/>
    <w:tbl>
      <w:tblPr>
        <w:tblStyle w:val="4"/>
        <w:tblW w:w="0" w:type="auto"/>
        <w:tblInd w:w="93" w:type="dxa"/>
        <w:shd w:val="clear" w:color="auto" w:fill="FFFFFF"/>
        <w:tblLayout w:type="fixed"/>
        <w:tblCellMar>
          <w:top w:w="0" w:type="dxa"/>
          <w:left w:w="108" w:type="dxa"/>
          <w:bottom w:w="0" w:type="dxa"/>
          <w:right w:w="108" w:type="dxa"/>
        </w:tblCellMar>
      </w:tblPr>
      <w:tblGrid>
        <w:gridCol w:w="13311"/>
      </w:tblGrid>
      <w:tr>
        <w:tblPrEx>
          <w:tblCellMar>
            <w:top w:w="0" w:type="dxa"/>
            <w:left w:w="108" w:type="dxa"/>
            <w:bottom w:w="0" w:type="dxa"/>
            <w:right w:w="108" w:type="dxa"/>
          </w:tblCellMar>
        </w:tblPrEx>
        <w:trPr>
          <w:trHeight w:val="549" w:hRule="atLeast"/>
        </w:trPr>
        <w:tc>
          <w:tcPr>
            <w:tcW w:w="13311" w:type="dxa"/>
            <w:tcBorders>
              <w:top w:val="nil"/>
              <w:left w:val="nil"/>
              <w:bottom w:val="nil"/>
              <w:right w:val="nil"/>
            </w:tcBorders>
            <w:shd w:val="clear" w:color="auto" w:fill="FFFFFF"/>
            <w:noWrap w:val="0"/>
            <w:vAlign w:val="bottom"/>
          </w:tcPr>
          <w:p>
            <w:pPr>
              <w:pStyle w:val="2"/>
              <w:ind w:left="0" w:firstLine="2160" w:firstLineChars="450"/>
              <w:rPr>
                <w:lang w:val="en-US" w:eastAsia="zh-CN"/>
              </w:rPr>
            </w:pPr>
            <w:bookmarkStart w:id="5" w:name="_Toc49239086"/>
            <w:r>
              <w:rPr>
                <w:lang w:val="en-US" w:eastAsia="zh-CN"/>
              </w:rPr>
              <w:t>六、一般公共预算财政拨款</w:t>
            </w:r>
            <w:r>
              <w:rPr>
                <w:rFonts w:hint="eastAsia"/>
                <w:lang w:val="en-US" w:eastAsia="zh-CN"/>
              </w:rPr>
              <w:t>支出</w:t>
            </w:r>
            <w:r>
              <w:rPr>
                <w:lang w:val="en-US" w:eastAsia="zh-CN"/>
              </w:rPr>
              <w:t>决算表（二）</w:t>
            </w:r>
            <w:bookmarkEnd w:id="5"/>
          </w:p>
        </w:tc>
      </w:tr>
    </w:tbl>
    <w:p>
      <w:pPr>
        <w:tabs>
          <w:tab w:val="left" w:pos="3760"/>
        </w:tabs>
        <w:kinsoku w:val="0"/>
        <w:overflowPunct w:val="0"/>
        <w:spacing w:line="799" w:lineRule="exact"/>
        <w:rPr>
          <w:rFonts w:hint="eastAsia" w:ascii="黑体" w:hAnsi="黑体" w:eastAsia="黑体" w:cs="黑体"/>
          <w:sz w:val="32"/>
          <w:szCs w:val="32"/>
        </w:rPr>
      </w:pPr>
    </w:p>
    <w:tbl>
      <w:tblPr>
        <w:tblStyle w:val="4"/>
        <w:tblW w:w="14752" w:type="dxa"/>
        <w:tblInd w:w="98" w:type="dxa"/>
        <w:tblLayout w:type="fixed"/>
        <w:tblCellMar>
          <w:top w:w="0" w:type="dxa"/>
          <w:left w:w="108" w:type="dxa"/>
          <w:bottom w:w="0" w:type="dxa"/>
          <w:right w:w="108" w:type="dxa"/>
        </w:tblCellMar>
      </w:tblPr>
      <w:tblGrid>
        <w:gridCol w:w="1043"/>
        <w:gridCol w:w="1538"/>
        <w:gridCol w:w="1115"/>
        <w:gridCol w:w="1134"/>
        <w:gridCol w:w="1134"/>
        <w:gridCol w:w="1134"/>
        <w:gridCol w:w="1134"/>
        <w:gridCol w:w="1134"/>
        <w:gridCol w:w="1134"/>
        <w:gridCol w:w="1984"/>
        <w:gridCol w:w="1134"/>
        <w:gridCol w:w="1134"/>
      </w:tblGrid>
      <w:tr>
        <w:tblPrEx>
          <w:tblCellMar>
            <w:top w:w="0" w:type="dxa"/>
            <w:left w:w="108" w:type="dxa"/>
            <w:bottom w:w="0" w:type="dxa"/>
            <w:right w:w="108" w:type="dxa"/>
          </w:tblCellMar>
        </w:tblPrEx>
        <w:trPr>
          <w:trHeight w:val="260" w:hRule="atLeast"/>
        </w:trPr>
        <w:tc>
          <w:tcPr>
            <w:tcW w:w="1043"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1538"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1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68" w:type="dxa"/>
            <w:gridSpan w:val="2"/>
            <w:tcBorders>
              <w:top w:val="nil"/>
              <w:left w:val="nil"/>
              <w:bottom w:val="single" w:color="000000" w:sz="4" w:space="0"/>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trHeight w:val="615" w:hRule="atLeast"/>
        </w:trPr>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经济分类</w:t>
            </w:r>
          </w:p>
          <w:p>
            <w:pPr>
              <w:widowControl/>
              <w:autoSpaceDE/>
              <w:autoSpaceDN/>
              <w:adjustRightInd/>
              <w:jc w:val="center"/>
              <w:rPr>
                <w:rFonts w:ascii="宋体" w:hAnsi="宋体" w:cs="Arial"/>
                <w:color w:val="000000"/>
                <w:sz w:val="20"/>
              </w:rPr>
            </w:pPr>
            <w:r>
              <w:rPr>
                <w:rFonts w:hint="eastAsia" w:ascii="宋体" w:hAnsi="宋体" w:cs="Arial"/>
                <w:color w:val="000000"/>
                <w:sz w:val="20"/>
              </w:rPr>
              <w:t>科目编码</w:t>
            </w:r>
          </w:p>
        </w:tc>
        <w:tc>
          <w:tcPr>
            <w:tcW w:w="1538"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115"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经济分类科目编码</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经济分类科目编码</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r>
      <w:tr>
        <w:tblPrEx>
          <w:tblCellMar>
            <w:top w:w="0" w:type="dxa"/>
            <w:left w:w="108" w:type="dxa"/>
            <w:bottom w:w="0" w:type="dxa"/>
            <w:right w:w="108" w:type="dxa"/>
          </w:tblCellMar>
        </w:tblPrEx>
        <w:trPr>
          <w:trHeight w:val="323" w:hRule="atLeast"/>
        </w:trPr>
        <w:tc>
          <w:tcPr>
            <w:tcW w:w="1043"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301</w:t>
            </w:r>
          </w:p>
        </w:tc>
        <w:tc>
          <w:tcPr>
            <w:tcW w:w="153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工资福利支出</w:t>
            </w:r>
          </w:p>
        </w:tc>
        <w:tc>
          <w:tcPr>
            <w:tcW w:w="11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1,888,301.44</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1,888,301.44</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商品和服务支出</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367,200.00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267,200.00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309</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资本性支出</w:t>
            </w:r>
          </w:p>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（基本建设</w:t>
            </w:r>
            <w:r>
              <w:rPr>
                <w:rFonts w:ascii="宋体" w:hAnsi="宋体" w:cs="Arial"/>
                <w:b/>
                <w:bCs/>
                <w:color w:val="000000"/>
                <w:sz w:val="16"/>
                <w:szCs w:val="16"/>
              </w:rPr>
              <w:t>）</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043"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30101</w:t>
            </w:r>
          </w:p>
        </w:tc>
        <w:tc>
          <w:tcPr>
            <w:tcW w:w="153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基本工资</w:t>
            </w:r>
          </w:p>
        </w:tc>
        <w:tc>
          <w:tcPr>
            <w:tcW w:w="11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739,816.60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739,816.60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30201</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239,699.00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196,870.00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30901</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043"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30102</w:t>
            </w:r>
          </w:p>
        </w:tc>
        <w:tc>
          <w:tcPr>
            <w:tcW w:w="153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津贴补贴</w:t>
            </w:r>
          </w:p>
        </w:tc>
        <w:tc>
          <w:tcPr>
            <w:tcW w:w="11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107,900.00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107,900.00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印刷费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41,500.00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30902</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043"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30103</w:t>
            </w:r>
          </w:p>
        </w:tc>
        <w:tc>
          <w:tcPr>
            <w:tcW w:w="153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奖金</w:t>
            </w:r>
          </w:p>
        </w:tc>
        <w:tc>
          <w:tcPr>
            <w:tcW w:w="111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30203</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咨询费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30903</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043"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30106</w:t>
            </w:r>
          </w:p>
        </w:tc>
        <w:tc>
          <w:tcPr>
            <w:tcW w:w="153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伙食补助费</w:t>
            </w:r>
          </w:p>
        </w:tc>
        <w:tc>
          <w:tcPr>
            <w:tcW w:w="111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30204</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手续费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30905</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043"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30107</w:t>
            </w:r>
          </w:p>
        </w:tc>
        <w:tc>
          <w:tcPr>
            <w:tcW w:w="153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绩效工资</w:t>
            </w:r>
          </w:p>
        </w:tc>
        <w:tc>
          <w:tcPr>
            <w:tcW w:w="11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517,844.00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517,844.00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30205</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水费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30906</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043"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30108</w:t>
            </w:r>
          </w:p>
        </w:tc>
        <w:tc>
          <w:tcPr>
            <w:tcW w:w="153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机关事业单位基本养老保险缴费</w:t>
            </w:r>
          </w:p>
        </w:tc>
        <w:tc>
          <w:tcPr>
            <w:tcW w:w="11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192,629.76</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192,629.76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电费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30907</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490" w:hRule="atLeast"/>
        </w:trPr>
        <w:tc>
          <w:tcPr>
            <w:tcW w:w="1043"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30109</w:t>
            </w:r>
          </w:p>
        </w:tc>
        <w:tc>
          <w:tcPr>
            <w:tcW w:w="153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职业年金缴费</w:t>
            </w:r>
          </w:p>
        </w:tc>
        <w:tc>
          <w:tcPr>
            <w:tcW w:w="111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30207</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邮电费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30908</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043"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30110</w:t>
            </w:r>
          </w:p>
        </w:tc>
        <w:tc>
          <w:tcPr>
            <w:tcW w:w="153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职工基本医疗保险缴费</w:t>
            </w:r>
          </w:p>
        </w:tc>
        <w:tc>
          <w:tcPr>
            <w:tcW w:w="11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94,325.88</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94,325.88</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30208</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取暖费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30913</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043"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30111</w:t>
            </w:r>
          </w:p>
        </w:tc>
        <w:tc>
          <w:tcPr>
            <w:tcW w:w="153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公务员医疗补助缴费</w:t>
            </w:r>
          </w:p>
        </w:tc>
        <w:tc>
          <w:tcPr>
            <w:tcW w:w="11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47,637.60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47,637.60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30209</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物业管理费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30919</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043"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30112</w:t>
            </w:r>
          </w:p>
        </w:tc>
        <w:tc>
          <w:tcPr>
            <w:tcW w:w="153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其他社会保障缴费</w:t>
            </w:r>
          </w:p>
        </w:tc>
        <w:tc>
          <w:tcPr>
            <w:tcW w:w="11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10,841.60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10,841.60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30211</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差旅费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16,201.00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530.00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30921</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043"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30113</w:t>
            </w:r>
          </w:p>
        </w:tc>
        <w:tc>
          <w:tcPr>
            <w:tcW w:w="153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住房公积金</w:t>
            </w:r>
          </w:p>
        </w:tc>
        <w:tc>
          <w:tcPr>
            <w:tcW w:w="111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177,306.00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177,306.00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因公出国（境）费用</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30922</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无形资产购置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043"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30114</w:t>
            </w:r>
          </w:p>
        </w:tc>
        <w:tc>
          <w:tcPr>
            <w:tcW w:w="153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医疗费</w:t>
            </w:r>
          </w:p>
        </w:tc>
        <w:tc>
          <w:tcPr>
            <w:tcW w:w="111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30213</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维修（护）费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30999</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其他基本建设支出</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043"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30199</w:t>
            </w:r>
          </w:p>
        </w:tc>
        <w:tc>
          <w:tcPr>
            <w:tcW w:w="153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其他工资福利支出</w:t>
            </w:r>
          </w:p>
        </w:tc>
        <w:tc>
          <w:tcPr>
            <w:tcW w:w="111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30214</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租赁费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310</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资本性支出</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303</w:t>
            </w:r>
          </w:p>
        </w:tc>
        <w:tc>
          <w:tcPr>
            <w:tcW w:w="1538"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对个人和家庭的补助</w:t>
            </w:r>
          </w:p>
        </w:tc>
        <w:tc>
          <w:tcPr>
            <w:tcW w:w="11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3"/>
                <w:szCs w:val="13"/>
                <w:u w:val="none"/>
                <w:lang w:val="en-US" w:eastAsia="zh-CN" w:bidi="ar"/>
              </w:rPr>
              <w:t>5,168,544.53</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lang w:val="en-US" w:eastAsia="zh-CN" w:bidi="ar-SA"/>
              </w:rPr>
            </w:pPr>
            <w:r>
              <w:rPr>
                <w:rFonts w:hint="eastAsia" w:ascii="宋体" w:hAnsi="宋体" w:eastAsia="宋体" w:cs="宋体"/>
                <w:i w:val="0"/>
                <w:iCs w:val="0"/>
                <w:color w:val="000000"/>
                <w:kern w:val="0"/>
                <w:sz w:val="13"/>
                <w:szCs w:val="13"/>
                <w:u w:val="none"/>
                <w:lang w:val="en-US" w:eastAsia="zh-CN" w:bidi="ar"/>
              </w:rPr>
              <w:t>5,168,544.53</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30215</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会议费</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31001</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30301</w:t>
            </w:r>
          </w:p>
        </w:tc>
        <w:tc>
          <w:tcPr>
            <w:tcW w:w="1538"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离休费</w:t>
            </w:r>
          </w:p>
        </w:tc>
        <w:tc>
          <w:tcPr>
            <w:tcW w:w="1115"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30216</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培训费</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31002</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30302</w:t>
            </w:r>
          </w:p>
        </w:tc>
        <w:tc>
          <w:tcPr>
            <w:tcW w:w="1538"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退休费</w:t>
            </w:r>
          </w:p>
        </w:tc>
        <w:tc>
          <w:tcPr>
            <w:tcW w:w="111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11,200.00</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11,200.00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30217</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公务接待费</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31003</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30303</w:t>
            </w:r>
          </w:p>
        </w:tc>
        <w:tc>
          <w:tcPr>
            <w:tcW w:w="1538"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退职（役）费</w:t>
            </w:r>
          </w:p>
        </w:tc>
        <w:tc>
          <w:tcPr>
            <w:tcW w:w="1115"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30218</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专用材料费</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31005</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000000" w:sz="4" w:space="0"/>
              <w:left w:val="single" w:color="000000"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30304</w:t>
            </w:r>
          </w:p>
        </w:tc>
        <w:tc>
          <w:tcPr>
            <w:tcW w:w="1538"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抚恤金</w:t>
            </w:r>
          </w:p>
        </w:tc>
        <w:tc>
          <w:tcPr>
            <w:tcW w:w="1115"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30224</w:t>
            </w:r>
          </w:p>
        </w:tc>
        <w:tc>
          <w:tcPr>
            <w:tcW w:w="1134"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被装购置费</w:t>
            </w:r>
          </w:p>
        </w:tc>
        <w:tc>
          <w:tcPr>
            <w:tcW w:w="1134"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31006</w:t>
            </w:r>
          </w:p>
        </w:tc>
        <w:tc>
          <w:tcPr>
            <w:tcW w:w="198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13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30305</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生活补助</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lang w:val="en-US" w:eastAsia="zh-CN" w:bidi="ar-SA"/>
              </w:rPr>
            </w:pPr>
            <w:r>
              <w:rPr>
                <w:rFonts w:hint="eastAsia" w:ascii="宋体" w:hAnsi="宋体" w:eastAsia="宋体" w:cs="宋体"/>
                <w:i w:val="0"/>
                <w:iCs w:val="0"/>
                <w:color w:val="000000"/>
                <w:kern w:val="0"/>
                <w:sz w:val="13"/>
                <w:szCs w:val="13"/>
                <w:u w:val="none"/>
                <w:lang w:val="en-US" w:eastAsia="zh-CN" w:bidi="ar"/>
              </w:rPr>
              <w:t>5,156,144.53</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lang w:val="en-US" w:eastAsia="zh-CN" w:bidi="ar-SA"/>
              </w:rPr>
            </w:pPr>
            <w:r>
              <w:rPr>
                <w:rFonts w:hint="eastAsia" w:ascii="宋体" w:hAnsi="宋体" w:eastAsia="宋体" w:cs="宋体"/>
                <w:i w:val="0"/>
                <w:iCs w:val="0"/>
                <w:color w:val="000000"/>
                <w:kern w:val="0"/>
                <w:sz w:val="13"/>
                <w:szCs w:val="13"/>
                <w:u w:val="none"/>
                <w:lang w:val="en-US" w:eastAsia="zh-CN" w:bidi="ar"/>
              </w:rPr>
              <w:t>5,156,144.53</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30225</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专用燃料费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31007</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30306</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救济费</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30226</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劳务费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31008</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30307</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医疗费补助</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30227</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委托业务费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31009</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土地补偿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30308</w:t>
            </w: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助学金</w:t>
            </w: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30228</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工会经费</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25,400.00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25,400.00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31010</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安置补助</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30309</w:t>
            </w: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奖励金</w:t>
            </w:r>
          </w:p>
        </w:tc>
        <w:tc>
          <w:tcPr>
            <w:tcW w:w="111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1,200.00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1,200.00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30229</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福利费</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44,400.00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44,400.00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地上附着物和青苗补偿</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30310</w:t>
            </w: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个人农业生产补贴</w:t>
            </w: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30231</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公务用车运行维护费</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31012</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拆迁补偿</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30399</w:t>
            </w: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其他对个人和家庭的补助支出</w:t>
            </w: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30239</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其他交通费用</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31013</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p>
            <w:pPr>
              <w:widowControl/>
              <w:autoSpaceDE/>
              <w:autoSpaceDN/>
              <w:adjustRightInd/>
              <w:jc w:val="center"/>
              <w:rPr>
                <w:rFonts w:hint="eastAsia" w:ascii="宋体" w:hAnsi="宋体" w:cs="Arial"/>
                <w:color w:val="000000"/>
                <w:sz w:val="16"/>
                <w:szCs w:val="16"/>
              </w:rPr>
            </w:pP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30240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税金及附加费用</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30299</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其他商品和服务支出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31021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31022</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无形资产购置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31099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其他资本性支出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307</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债务利息及费用支出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30701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国内债务付息</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312</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对企业补助</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资本金注入</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31203</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政府投资基金股权投资</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31204</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费用补贴</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31205</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利息补贴</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其他对企业补助</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其他支出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39906</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赠与</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39907</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国家赔偿费用支出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39908</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对民间非营利组织和群众性自治组织补贴</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043"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38"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15"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2581"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b/>
                <w:bCs/>
                <w:color w:val="000000"/>
                <w:sz w:val="16"/>
                <w:szCs w:val="16"/>
              </w:rPr>
              <w:t>人员经费合计</w:t>
            </w:r>
          </w:p>
        </w:tc>
        <w:tc>
          <w:tcPr>
            <w:tcW w:w="111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lang w:val="en-US" w:eastAsia="zh-CN" w:bidi="ar-SA"/>
              </w:rPr>
            </w:pPr>
            <w:r>
              <w:rPr>
                <w:rFonts w:hint="eastAsia" w:ascii="宋体" w:hAnsi="宋体" w:eastAsia="宋体" w:cs="宋体"/>
                <w:i w:val="0"/>
                <w:iCs w:val="0"/>
                <w:color w:val="000000"/>
                <w:kern w:val="0"/>
                <w:sz w:val="13"/>
                <w:szCs w:val="13"/>
                <w:u w:val="none"/>
                <w:lang w:val="en-US" w:eastAsia="zh-CN" w:bidi="ar"/>
              </w:rPr>
              <w:t>7,056,845.97</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lang w:val="en-US" w:eastAsia="zh-CN" w:bidi="ar-SA"/>
              </w:rPr>
            </w:pPr>
            <w:r>
              <w:rPr>
                <w:rFonts w:hint="eastAsia" w:ascii="宋体" w:hAnsi="宋体" w:eastAsia="宋体" w:cs="宋体"/>
                <w:i w:val="0"/>
                <w:iCs w:val="0"/>
                <w:color w:val="000000"/>
                <w:kern w:val="0"/>
                <w:sz w:val="13"/>
                <w:szCs w:val="13"/>
                <w:u w:val="none"/>
                <w:lang w:val="en-US" w:eastAsia="zh-CN" w:bidi="ar"/>
              </w:rPr>
              <w:t>1,924,893.44</w:t>
            </w:r>
          </w:p>
        </w:tc>
        <w:tc>
          <w:tcPr>
            <w:tcW w:w="7654" w:type="dxa"/>
            <w:gridSpan w:val="6"/>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公用经费合计</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lang w:val="en-US" w:eastAsia="zh-CN" w:bidi="ar-SA"/>
              </w:rPr>
            </w:pPr>
            <w:r>
              <w:rPr>
                <w:rFonts w:hint="eastAsia" w:ascii="宋体" w:hAnsi="宋体" w:eastAsia="宋体" w:cs="宋体"/>
                <w:i w:val="0"/>
                <w:iCs w:val="0"/>
                <w:color w:val="000000"/>
                <w:kern w:val="0"/>
                <w:sz w:val="13"/>
                <w:szCs w:val="13"/>
                <w:u w:val="none"/>
                <w:lang w:val="en-US" w:eastAsia="zh-CN" w:bidi="ar"/>
              </w:rPr>
              <w:t>367,200.00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lang w:val="en-US" w:eastAsia="zh-CN" w:bidi="ar-SA"/>
              </w:rPr>
            </w:pPr>
            <w:r>
              <w:rPr>
                <w:rFonts w:hint="eastAsia" w:ascii="宋体" w:hAnsi="宋体" w:eastAsia="宋体" w:cs="宋体"/>
                <w:i w:val="0"/>
                <w:iCs w:val="0"/>
                <w:color w:val="000000"/>
                <w:kern w:val="0"/>
                <w:sz w:val="13"/>
                <w:szCs w:val="13"/>
                <w:u w:val="none"/>
                <w:lang w:val="en-US" w:eastAsia="zh-CN" w:bidi="ar"/>
              </w:rPr>
              <w:t>267,200.00</w:t>
            </w:r>
          </w:p>
        </w:tc>
      </w:tr>
    </w:tbl>
    <w:p>
      <w:pPr>
        <w:tabs>
          <w:tab w:val="left" w:pos="3760"/>
        </w:tabs>
        <w:kinsoku w:val="0"/>
        <w:overflowPunct w:val="0"/>
        <w:spacing w:line="799" w:lineRule="exact"/>
        <w:rPr>
          <w:rFonts w:ascii="宋体" w:hAnsi="宋体" w:cs="Arial"/>
          <w:color w:val="000000"/>
          <w:sz w:val="16"/>
          <w:szCs w:val="16"/>
        </w:rPr>
        <w:sectPr>
          <w:pgSz w:w="16840" w:h="11906" w:orient="landscape"/>
          <w:pgMar w:top="1021" w:right="1134" w:bottom="1021" w:left="1134" w:header="0" w:footer="510" w:gutter="0"/>
          <w:lnNumType w:countBy="0" w:distance="360"/>
          <w:cols w:space="720" w:num="1"/>
          <w:docGrid w:linePitch="326" w:charSpace="0"/>
        </w:sectPr>
      </w:pPr>
      <w:r>
        <w:rPr>
          <w:rFonts w:hint="eastAsia" w:ascii="宋体" w:hAnsi="宋体" w:cs="Arial"/>
          <w:color w:val="000000"/>
          <w:sz w:val="16"/>
          <w:szCs w:val="16"/>
        </w:rPr>
        <w:t>注:本表反映部门本年度一般公共预算财政拨款支出明细情况(其中包括基本支出明细情况)。</w:t>
      </w:r>
    </w:p>
    <w:tbl>
      <w:tblPr>
        <w:tblStyle w:val="4"/>
        <w:tblW w:w="0" w:type="auto"/>
        <w:tblInd w:w="93" w:type="dxa"/>
        <w:tblLayout w:type="autofit"/>
        <w:tblCellMar>
          <w:top w:w="0" w:type="dxa"/>
          <w:left w:w="108" w:type="dxa"/>
          <w:bottom w:w="0" w:type="dxa"/>
          <w:right w:w="108" w:type="dxa"/>
        </w:tblCellMar>
      </w:tblPr>
      <w:tblGrid>
        <w:gridCol w:w="416"/>
        <w:gridCol w:w="416"/>
        <w:gridCol w:w="416"/>
        <w:gridCol w:w="2169"/>
        <w:gridCol w:w="1843"/>
        <w:gridCol w:w="1843"/>
        <w:gridCol w:w="1985"/>
        <w:gridCol w:w="1460"/>
        <w:gridCol w:w="382"/>
        <w:gridCol w:w="1843"/>
        <w:gridCol w:w="1843"/>
      </w:tblGrid>
      <w:tr>
        <w:tblPrEx>
          <w:tblCellMar>
            <w:top w:w="0" w:type="dxa"/>
            <w:left w:w="108" w:type="dxa"/>
            <w:bottom w:w="0" w:type="dxa"/>
            <w:right w:w="108" w:type="dxa"/>
          </w:tblCellMar>
        </w:tblPrEx>
        <w:trPr>
          <w:trHeight w:val="450" w:hRule="atLeast"/>
        </w:trPr>
        <w:tc>
          <w:tcPr>
            <w:tcW w:w="14616" w:type="dxa"/>
            <w:gridSpan w:val="11"/>
            <w:tcBorders>
              <w:top w:val="nil"/>
              <w:left w:val="nil"/>
              <w:bottom w:val="nil"/>
              <w:right w:val="nil"/>
            </w:tcBorders>
            <w:noWrap w:val="0"/>
            <w:vAlign w:val="bottom"/>
          </w:tcPr>
          <w:p>
            <w:pPr>
              <w:pStyle w:val="2"/>
              <w:ind w:left="0"/>
              <w:jc w:val="center"/>
              <w:rPr>
                <w:rFonts w:hint="eastAsia"/>
                <w:lang w:val="en-US" w:eastAsia="zh-CN"/>
              </w:rPr>
            </w:pPr>
            <w:bookmarkStart w:id="6" w:name="_Toc49239087"/>
            <w:r>
              <w:rPr>
                <w:lang w:val="en-US" w:eastAsia="zh-CN"/>
              </w:rPr>
              <w:t>七、一般公共预算财政拨款“三公”经费支出</w:t>
            </w:r>
            <w:r>
              <w:rPr>
                <w:rFonts w:hint="eastAsia"/>
                <w:lang w:val="en-US" w:eastAsia="zh-CN"/>
              </w:rPr>
              <w:t>决算</w:t>
            </w:r>
            <w:r>
              <w:rPr>
                <w:lang w:val="en-US" w:eastAsia="zh-CN"/>
              </w:rPr>
              <w:t>表</w:t>
            </w:r>
            <w:bookmarkEnd w:id="6"/>
          </w:p>
          <w:tbl>
            <w:tblPr>
              <w:tblStyle w:val="4"/>
              <w:tblW w:w="0" w:type="auto"/>
              <w:tblInd w:w="0" w:type="dxa"/>
              <w:tblLayout w:type="autofit"/>
              <w:tblCellMar>
                <w:top w:w="0" w:type="dxa"/>
                <w:left w:w="108" w:type="dxa"/>
                <w:bottom w:w="0" w:type="dxa"/>
                <w:right w:w="108" w:type="dxa"/>
              </w:tblCellMar>
            </w:tblPr>
            <w:tblGrid>
              <w:gridCol w:w="1608"/>
              <w:gridCol w:w="1040"/>
              <w:gridCol w:w="1262"/>
              <w:gridCol w:w="1126"/>
              <w:gridCol w:w="1168"/>
              <w:gridCol w:w="856"/>
              <w:gridCol w:w="1311"/>
              <w:gridCol w:w="1039"/>
              <w:gridCol w:w="964"/>
              <w:gridCol w:w="1186"/>
              <w:gridCol w:w="1116"/>
              <w:gridCol w:w="1416"/>
            </w:tblGrid>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jc w:val="center"/>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single" w:color="000000" w:sz="4" w:space="0"/>
                    <w:right w:val="nil"/>
                  </w:tcBorders>
                  <w:noWrap/>
                  <w:vAlign w:val="bottom"/>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463" w:hRule="atLeast"/>
              </w:trPr>
              <w:tc>
                <w:tcPr>
                  <w:tcW w:w="0" w:type="auto"/>
                  <w:gridSpan w:val="6"/>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预算数</w:t>
                  </w:r>
                </w:p>
              </w:tc>
              <w:tc>
                <w:tcPr>
                  <w:tcW w:w="0" w:type="auto"/>
                  <w:gridSpan w:val="6"/>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决算数</w:t>
                  </w:r>
                </w:p>
              </w:tc>
            </w:tr>
            <w:tr>
              <w:tblPrEx>
                <w:tblCellMar>
                  <w:top w:w="0" w:type="dxa"/>
                  <w:left w:w="108" w:type="dxa"/>
                  <w:bottom w:w="0" w:type="dxa"/>
                  <w:right w:w="108" w:type="dxa"/>
                </w:tblCellMar>
              </w:tblPrEx>
              <w:trPr>
                <w:trHeight w:val="330" w:hRule="atLeast"/>
              </w:trPr>
              <w:tc>
                <w:tcPr>
                  <w:tcW w:w="1608" w:type="dxa"/>
                  <w:vMerge w:val="restart"/>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40"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因公出国（境）费</w:t>
                  </w:r>
                </w:p>
              </w:tc>
              <w:tc>
                <w:tcPr>
                  <w:tcW w:w="0" w:type="auto"/>
                  <w:gridSpan w:val="3"/>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c>
                <w:tcPr>
                  <w:tcW w:w="1311"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39"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因公出国</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（境）费</w:t>
                  </w:r>
                </w:p>
              </w:tc>
              <w:tc>
                <w:tcPr>
                  <w:tcW w:w="0" w:type="auto"/>
                  <w:gridSpan w:val="3"/>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r>
            <w:tr>
              <w:tblPrEx>
                <w:tblCellMar>
                  <w:top w:w="0" w:type="dxa"/>
                  <w:left w:w="108" w:type="dxa"/>
                  <w:bottom w:w="0" w:type="dxa"/>
                  <w:right w:w="108" w:type="dxa"/>
                </w:tblCellMar>
              </w:tblPrEx>
              <w:trPr>
                <w:trHeight w:val="400" w:hRule="atLeast"/>
              </w:trPr>
              <w:tc>
                <w:tcPr>
                  <w:tcW w:w="1608"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40"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311"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3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04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311"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039"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22,500.00</w:t>
                  </w:r>
                </w:p>
              </w:tc>
              <w:tc>
                <w:tcPr>
                  <w:tcW w:w="104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26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18,500.00</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18500.00</w:t>
                  </w:r>
                </w:p>
              </w:tc>
              <w:tc>
                <w:tcPr>
                  <w:tcW w:w="0" w:type="auto"/>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4,000.00</w:t>
                  </w:r>
                </w:p>
              </w:tc>
              <w:tc>
                <w:tcPr>
                  <w:tcW w:w="131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03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right"/>
                    <w:rPr>
                      <w:rFonts w:hint="default" w:ascii="宋体" w:hAnsi="宋体" w:eastAsia="宋体" w:cs="Arial"/>
                      <w:color w:val="000000"/>
                      <w:sz w:val="16"/>
                      <w:szCs w:val="16"/>
                      <w:lang w:val="en-US" w:eastAsia="zh-CN"/>
                    </w:rPr>
                  </w:pPr>
                  <w:r>
                    <w:rPr>
                      <w:rFonts w:hint="eastAsia" w:ascii="宋体" w:hAnsi="宋体" w:cs="Arial"/>
                      <w:color w:val="000000"/>
                      <w:sz w:val="16"/>
                      <w:szCs w:val="16"/>
                      <w:lang w:val="en-US" w:eastAsia="zh-CN"/>
                    </w:rPr>
                    <w:t>0.00</w:t>
                  </w:r>
                </w:p>
              </w:tc>
            </w:tr>
            <w:tr>
              <w:tblPrEx>
                <w:tblCellMar>
                  <w:top w:w="0" w:type="dxa"/>
                  <w:left w:w="108" w:type="dxa"/>
                  <w:bottom w:w="0" w:type="dxa"/>
                  <w:right w:w="108" w:type="dxa"/>
                </w:tblCellMar>
              </w:tblPrEx>
              <w:trPr>
                <w:trHeight w:val="385" w:hRule="atLeast"/>
              </w:trPr>
              <w:tc>
                <w:tcPr>
                  <w:tcW w:w="0" w:type="auto"/>
                  <w:gridSpan w:val="12"/>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注：本表反映部门本年度“三公”经费支出预决算情况。其中：预算数为“三公”经费年初预算数，决算数是包括当年一般公共预算财政拨款和以前年度结转资金安排的实际支出。</w:t>
                  </w:r>
                </w:p>
              </w:tc>
            </w:tr>
          </w:tbl>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lang w:val="en-US" w:eastAsia="zh-CN"/>
              </w:rPr>
            </w:pPr>
            <w:bookmarkStart w:id="7" w:name="_Toc49239088"/>
            <w:r>
              <w:rPr>
                <w:rFonts w:hint="eastAsia"/>
                <w:lang w:val="en-US" w:eastAsia="zh-CN"/>
              </w:rPr>
              <w:t>八、</w:t>
            </w:r>
            <w:r>
              <w:rPr>
                <w:lang w:val="en-US" w:eastAsia="zh-CN"/>
              </w:rPr>
              <w:t>政府性基金预算财政拨款收入支出决算表</w:t>
            </w:r>
            <w:bookmarkEnd w:id="7"/>
          </w:p>
        </w:tc>
      </w:tr>
      <w:tr>
        <w:tblPrEx>
          <w:tblCellMar>
            <w:top w:w="0" w:type="dxa"/>
            <w:left w:w="108" w:type="dxa"/>
            <w:bottom w:w="0" w:type="dxa"/>
            <w:right w:w="108" w:type="dxa"/>
          </w:tblCellMar>
        </w:tblPrEx>
        <w:trPr>
          <w:trHeight w:val="270" w:hRule="atLeast"/>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16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25"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417"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年初结转和结余</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w:t>
            </w:r>
          </w:p>
        </w:tc>
        <w:tc>
          <w:tcPr>
            <w:tcW w:w="5670" w:type="dxa"/>
            <w:gridSpan w:val="4"/>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年末结转和结余</w:t>
            </w:r>
          </w:p>
        </w:tc>
      </w:tr>
      <w:tr>
        <w:tblPrEx>
          <w:tblCellMar>
            <w:top w:w="0" w:type="dxa"/>
            <w:left w:w="108" w:type="dxa"/>
            <w:bottom w:w="0" w:type="dxa"/>
            <w:right w:w="108" w:type="dxa"/>
          </w:tblCellMar>
        </w:tblPrEx>
        <w:trPr>
          <w:trHeight w:val="308" w:hRule="atLeast"/>
        </w:trPr>
        <w:tc>
          <w:tcPr>
            <w:tcW w:w="124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169"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985"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2" w:type="dxa"/>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43"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59"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97" w:hRule="atLeast"/>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842"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97" w:hRule="atLeast"/>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55" w:hRule="atLeast"/>
        </w:trPr>
        <w:tc>
          <w:tcPr>
            <w:tcW w:w="14616" w:type="dxa"/>
            <w:gridSpan w:val="11"/>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注：本表反映部门本年度政府性基金预算财政拨款收入、支出及结转和结余情况。</w:t>
            </w:r>
          </w:p>
        </w:tc>
      </w:tr>
    </w:tbl>
    <w:p>
      <w:pPr>
        <w:tabs>
          <w:tab w:val="left" w:pos="3760"/>
        </w:tabs>
        <w:kinsoku w:val="0"/>
        <w:overflowPunct w:val="0"/>
        <w:spacing w:line="799" w:lineRule="exact"/>
        <w:ind w:left="2" w:leftChars="1"/>
        <w:rPr>
          <w:rFonts w:ascii="黑体" w:hAnsi="黑体" w:eastAsia="黑体" w:cs="黑体"/>
          <w:sz w:val="48"/>
        </w:rPr>
        <w:sectPr>
          <w:pgSz w:w="16840" w:h="11906" w:orient="landscape"/>
          <w:pgMar w:top="1021" w:right="1134" w:bottom="1021" w:left="1134" w:header="0" w:footer="510" w:gutter="0"/>
          <w:lnNumType w:countBy="0" w:distance="360"/>
          <w:cols w:space="720" w:num="1"/>
          <w:docGrid w:linePitch="326" w:charSpace="0"/>
        </w:sectPr>
      </w:pPr>
      <w:r>
        <w:rPr>
          <w:rFonts w:hint="eastAsia" w:ascii="黑体" w:hAnsi="黑体" w:eastAsia="黑体" w:cs="黑体"/>
          <w:sz w:val="48"/>
        </w:rPr>
        <w:t>本表不可删除，单位无数字也必须保留本表，说明金额为零。</w:t>
      </w:r>
    </w:p>
    <w:tbl>
      <w:tblPr>
        <w:tblStyle w:val="4"/>
        <w:tblW w:w="5000" w:type="pct"/>
        <w:tblInd w:w="0" w:type="dxa"/>
        <w:tblLayout w:type="autofit"/>
        <w:tblCellMar>
          <w:top w:w="0" w:type="dxa"/>
          <w:left w:w="108" w:type="dxa"/>
          <w:bottom w:w="0" w:type="dxa"/>
          <w:right w:w="108" w:type="dxa"/>
        </w:tblCellMar>
      </w:tblPr>
      <w:tblGrid>
        <w:gridCol w:w="4980"/>
        <w:gridCol w:w="724"/>
        <w:gridCol w:w="701"/>
        <w:gridCol w:w="457"/>
        <w:gridCol w:w="1660"/>
      </w:tblGrid>
      <w:tr>
        <w:tblPrEx>
          <w:tblCellMar>
            <w:top w:w="0" w:type="dxa"/>
            <w:left w:w="108" w:type="dxa"/>
            <w:bottom w:w="0" w:type="dxa"/>
            <w:right w:w="108" w:type="dxa"/>
          </w:tblCellMar>
        </w:tblPrEx>
        <w:trPr>
          <w:trHeight w:val="810" w:hRule="atLeast"/>
        </w:trPr>
        <w:tc>
          <w:tcPr>
            <w:tcW w:w="5000" w:type="pct"/>
            <w:gridSpan w:val="5"/>
            <w:tcBorders>
              <w:top w:val="nil"/>
              <w:left w:val="nil"/>
              <w:bottom w:val="nil"/>
              <w:right w:val="nil"/>
            </w:tcBorders>
            <w:noWrap w:val="0"/>
            <w:vAlign w:val="bottom"/>
          </w:tcPr>
          <w:p>
            <w:pPr>
              <w:pStyle w:val="2"/>
              <w:ind w:left="0"/>
              <w:jc w:val="center"/>
              <w:rPr>
                <w:lang w:val="en-US" w:eastAsia="zh-CN"/>
              </w:rPr>
            </w:pPr>
            <w:bookmarkStart w:id="8" w:name="_Toc49239089"/>
            <w:r>
              <w:rPr>
                <w:rFonts w:hint="eastAsia"/>
                <w:lang w:val="en-US" w:eastAsia="zh-CN"/>
              </w:rPr>
              <w:t>九</w:t>
            </w:r>
            <w:r>
              <w:rPr>
                <w:lang w:val="en-US" w:eastAsia="zh-CN"/>
              </w:rPr>
              <w:t>、部门决算公开相关信息统计表</w:t>
            </w:r>
            <w:bookmarkEnd w:id="8"/>
          </w:p>
        </w:tc>
      </w:tr>
      <w:tr>
        <w:tblPrEx>
          <w:tblCellMar>
            <w:top w:w="0" w:type="dxa"/>
            <w:left w:w="108" w:type="dxa"/>
            <w:bottom w:w="0" w:type="dxa"/>
            <w:right w:w="108" w:type="dxa"/>
          </w:tblCellMar>
        </w:tblPrEx>
        <w:trPr>
          <w:trHeight w:val="375" w:hRule="atLeast"/>
        </w:trPr>
        <w:tc>
          <w:tcPr>
            <w:tcW w:w="3347" w:type="pct"/>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1"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68"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974" w:type="pct"/>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bottom"/>
          </w:tcPr>
          <w:p>
            <w:pPr>
              <w:widowControl/>
              <w:autoSpaceDE/>
              <w:autoSpaceDN/>
              <w:adjustRightInd/>
              <w:rPr>
                <w:rFonts w:ascii="宋体" w:hAnsi="宋体" w:cs="Arial"/>
                <w:b/>
                <w:bCs/>
                <w:color w:val="000000"/>
                <w:sz w:val="20"/>
              </w:rPr>
            </w:pPr>
            <w:r>
              <w:rPr>
                <w:rFonts w:hint="eastAsia" w:ascii="宋体" w:hAnsi="宋体" w:cs="Arial"/>
                <w:b/>
                <w:bCs/>
                <w:color w:val="000000"/>
                <w:sz w:val="20"/>
              </w:rPr>
              <w:t>一、政府采购情况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行次</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ind w:firstLine="700" w:firstLineChars="350"/>
              <w:rPr>
                <w:rFonts w:ascii="宋体" w:hAnsi="宋体" w:cs="Arial"/>
                <w:color w:val="000000"/>
                <w:sz w:val="20"/>
              </w:rPr>
            </w:pPr>
            <w:r>
              <w:rPr>
                <w:rFonts w:hint="eastAsia" w:ascii="宋体" w:hAnsi="宋体" w:cs="Arial"/>
                <w:color w:val="000000"/>
                <w:sz w:val="20"/>
              </w:rPr>
              <w:t>采购金额</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hint="default" w:ascii="宋体" w:hAnsi="宋体" w:eastAsia="宋体" w:cs="Arial"/>
                <w:color w:val="000000"/>
                <w:sz w:val="20"/>
                <w:lang w:val="en-US" w:eastAsia="zh-CN"/>
              </w:rPr>
            </w:pPr>
            <w:r>
              <w:rPr>
                <w:rFonts w:hint="eastAsia" w:ascii="宋体" w:hAnsi="宋体" w:cs="Arial"/>
                <w:color w:val="000000"/>
                <w:sz w:val="20"/>
                <w:lang w:val="en-US" w:eastAsia="zh-CN"/>
              </w:rPr>
              <w:t>0.00</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货物</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46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工程</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4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服务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4</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二、机关运行经费</w:t>
            </w:r>
          </w:p>
        </w:tc>
      </w:tr>
      <w:tr>
        <w:tblPrEx>
          <w:tblCellMar>
            <w:top w:w="0" w:type="dxa"/>
            <w:left w:w="108" w:type="dxa"/>
            <w:bottom w:w="0" w:type="dxa"/>
            <w:right w:w="108" w:type="dxa"/>
          </w:tblCellMar>
        </w:tblPrEx>
        <w:trPr>
          <w:trHeight w:val="510" w:hRule="atLeast"/>
        </w:trPr>
        <w:tc>
          <w:tcPr>
            <w:tcW w:w="2922"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统计数</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（一）行政单位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5</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（二）参照公务员法管理事业单位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6</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三、国有资产占用情况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（一）车辆数合计（辆）</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hint="eastAsia" w:ascii="Arial" w:hAnsi="Arial" w:cs="Arial"/>
                <w:color w:val="000000"/>
                <w:sz w:val="20"/>
                <w:lang w:val="en-US" w:eastAsia="zh-CN"/>
              </w:rPr>
              <w:t>0</w:t>
            </w:r>
            <w:r>
              <w:rPr>
                <w:rFonts w:ascii="Arial" w:hAnsi="Arial" w:cs="Arial"/>
                <w:color w:val="000000"/>
                <w:sz w:val="20"/>
              </w:rPr>
              <w:t>　</w:t>
            </w:r>
          </w:p>
        </w:tc>
      </w:tr>
      <w:tr>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1.</w:t>
            </w:r>
            <w:r>
              <w:rPr>
                <w:rFonts w:hint="eastAsia" w:ascii="Arial" w:hAnsi="Arial" w:cs="Arial"/>
                <w:color w:val="000000"/>
                <w:sz w:val="20"/>
              </w:rPr>
              <w:t>副</w:t>
            </w:r>
            <w:r>
              <w:rPr>
                <w:rFonts w:hint="eastAsia" w:ascii="宋体" w:hAnsi="宋体" w:cs="Arial"/>
                <w:color w:val="000000"/>
                <w:sz w:val="20"/>
              </w:rPr>
              <w:t>部（省</w:t>
            </w:r>
            <w:r>
              <w:rPr>
                <w:rFonts w:ascii="宋体" w:hAnsi="宋体" w:cs="Arial"/>
                <w:color w:val="000000"/>
                <w:sz w:val="20"/>
              </w:rPr>
              <w:t>）</w:t>
            </w:r>
            <w:r>
              <w:rPr>
                <w:rFonts w:hint="eastAsia" w:ascii="宋体" w:hAnsi="宋体" w:cs="Arial"/>
                <w:color w:val="000000"/>
                <w:sz w:val="20"/>
              </w:rPr>
              <w:t>级及以上领导用车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8</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2.</w:t>
            </w:r>
            <w:r>
              <w:rPr>
                <w:rFonts w:hint="eastAsia" w:ascii="宋体" w:hAnsi="宋体" w:cs="Arial"/>
                <w:color w:val="000000"/>
                <w:sz w:val="20"/>
              </w:rPr>
              <w:t>主要领导干部用车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9</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3.</w:t>
            </w:r>
            <w:r>
              <w:rPr>
                <w:rFonts w:hint="eastAsia" w:ascii="宋体" w:hAnsi="宋体" w:cs="Arial"/>
                <w:color w:val="000000"/>
                <w:sz w:val="20"/>
              </w:rPr>
              <w:t>机要通信用车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10</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4.</w:t>
            </w:r>
            <w:r>
              <w:rPr>
                <w:rFonts w:hint="eastAsia" w:ascii="宋体" w:hAnsi="宋体" w:cs="Arial"/>
                <w:color w:val="000000"/>
                <w:sz w:val="20"/>
              </w:rPr>
              <w:t>应急保障用车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11</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5.执法执勤用车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12</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6.特种专业技术用车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13</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7.离退休干部用车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14</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8</w:t>
            </w:r>
            <w:r>
              <w:rPr>
                <w:rFonts w:ascii="Arial" w:hAnsi="Arial" w:cs="Arial"/>
                <w:color w:val="000000"/>
                <w:sz w:val="20"/>
              </w:rPr>
              <w:t>.</w:t>
            </w:r>
            <w:r>
              <w:rPr>
                <w:rFonts w:hint="eastAsia" w:ascii="宋体" w:hAnsi="宋体" w:cs="Arial"/>
                <w:color w:val="000000"/>
                <w:sz w:val="20"/>
              </w:rPr>
              <w:t>其他用车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15</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ascii="Arial" w:hAnsi="Arial" w:cs="Arial"/>
                <w:color w:val="000000"/>
                <w:sz w:val="20"/>
              </w:rPr>
            </w:pPr>
            <w:r>
              <w:rPr>
                <w:rFonts w:hint="eastAsia" w:ascii="宋体" w:hAnsi="宋体" w:cs="Arial"/>
                <w:color w:val="000000"/>
                <w:sz w:val="20"/>
              </w:rPr>
              <w:t>（二）单价</w:t>
            </w:r>
            <w:r>
              <w:rPr>
                <w:rFonts w:hint="eastAsia" w:ascii="Arial" w:hAnsi="Arial" w:cs="Arial"/>
                <w:color w:val="000000"/>
                <w:sz w:val="20"/>
              </w:rPr>
              <w:t>50</w:t>
            </w:r>
            <w:r>
              <w:rPr>
                <w:rFonts w:hint="eastAsia" w:ascii="宋体" w:hAnsi="宋体" w:cs="Arial"/>
                <w:color w:val="000000"/>
                <w:sz w:val="20"/>
              </w:rPr>
              <w:t>万元以上通用设备（台、套）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6</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hint="eastAsia" w:ascii="宋体" w:hAnsi="宋体" w:cs="Arial"/>
                <w:color w:val="000000"/>
                <w:sz w:val="20"/>
              </w:rPr>
            </w:pPr>
            <w:r>
              <w:rPr>
                <w:rFonts w:hint="eastAsia" w:ascii="宋体" w:hAnsi="宋体" w:cs="Arial"/>
                <w:color w:val="000000"/>
                <w:sz w:val="20"/>
              </w:rPr>
              <w:t>（三）单价</w:t>
            </w:r>
            <w:r>
              <w:rPr>
                <w:rFonts w:hint="eastAsia" w:ascii="Arial" w:hAnsi="Arial" w:cs="Arial"/>
                <w:color w:val="000000"/>
                <w:sz w:val="20"/>
              </w:rPr>
              <w:t>100</w:t>
            </w:r>
            <w:r>
              <w:rPr>
                <w:rFonts w:hint="eastAsia" w:ascii="宋体" w:hAnsi="宋体" w:cs="Arial"/>
                <w:color w:val="000000"/>
                <w:sz w:val="20"/>
              </w:rPr>
              <w:t>万元以上专用设备（台、套）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hint="eastAsia" w:ascii="Arial" w:hAnsi="Arial" w:cs="Arial"/>
                <w:color w:val="000000"/>
                <w:sz w:val="20"/>
              </w:rPr>
            </w:pPr>
            <w:r>
              <w:rPr>
                <w:rFonts w:hint="eastAsia" w:ascii="Arial" w:hAnsi="Arial" w:cs="Arial"/>
                <w:color w:val="000000"/>
                <w:sz w:val="20"/>
              </w:rPr>
              <w:t>17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375" w:hRule="atLeast"/>
        </w:trPr>
        <w:tc>
          <w:tcPr>
            <w:tcW w:w="5000" w:type="pct"/>
            <w:gridSpan w:val="5"/>
            <w:tcBorders>
              <w:top w:val="single" w:color="auto" w:sz="4"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注：本表反映部门本年度政府采购及机关运行经费和国有资产占用情况。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00" w:lineRule="exact"/>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YzIyZGIyYTA4MTUwOWRmYjBiMzM2MDFjMzY5YjYifQ=="/>
  </w:docVars>
  <w:rsids>
    <w:rsidRoot w:val="3F99795D"/>
    <w:rsid w:val="3F997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2"/>
    <w:basedOn w:val="1"/>
    <w:next w:val="1"/>
    <w:qFormat/>
    <w:uiPriority w:val="0"/>
    <w:pPr>
      <w:ind w:left="1600"/>
      <w:outlineLvl w:val="1"/>
    </w:pPr>
    <w:rPr>
      <w:rFonts w:ascii="宋体" w:hAnsi="宋体"/>
      <w:sz w:val="4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2022-09-02T02:02:00Z</dcterms:created>
  <dc:creator>大白</dc:creator>
  <cp:lastModifiedBy>大白</cp:lastModifiedBy>
  <dcterms:modified xsi:type="dcterms:W3CDTF">2022-09-02T02:03:40Z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1BD66BFC60B44216B420F630A5353CE0</vt:lpwstr>
  </property>
</Properties>
</file>