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晋城市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人民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防空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Style w:val="12"/>
        <w:tblpPr w:leftFromText="180" w:rightFromText="180" w:vertAnchor="text" w:tblpX="-177" w:tblpY="303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邮政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vertAlign w:val="baseline"/>
              </w:rPr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vertAlign w:val="baselin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5D0C9E"/>
    <w:rsid w:val="355D0C9E"/>
    <w:rsid w:val="3D814A87"/>
    <w:rsid w:val="42693FF2"/>
    <w:rsid w:val="75B6A97F"/>
    <w:rsid w:val="7EF9D567"/>
    <w:rsid w:val="AFEFF0A7"/>
    <w:rsid w:val="BF7C0367"/>
    <w:rsid w:val="CCBF9407"/>
    <w:rsid w:val="EFDBB0AB"/>
    <w:rsid w:val="F1FFE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Administrator</cp:lastModifiedBy>
  <dcterms:modified xsi:type="dcterms:W3CDTF">2021-09-02T09:56:32Z</dcterms:modified>
  <dc:title>晋城市人民防空办公室信息公开申请表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