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晋城市卫生健康行政处罚名单公示(第四期)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（2022.8.30-2022.10.09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</w:p>
    <w:tbl>
      <w:tblPr>
        <w:tblStyle w:val="3"/>
        <w:tblW w:w="1467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25"/>
        <w:gridCol w:w="2760"/>
        <w:gridCol w:w="1380"/>
        <w:gridCol w:w="2955"/>
        <w:gridCol w:w="2130"/>
        <w:gridCol w:w="150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处罚对象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违法事实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处罚依据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行政处罚决定书文号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晋城市城区波波佳人组合美容店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安排未取得有效健康合格证明从业人员从事直接为顾客服务工作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给予警告，罚款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500元的行政处罚。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《公共场所卫生管理条例实施细则》第三十八条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晋市卫公罚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〔2022〕2号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2022.8.30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2023.8.30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晋城市城区爱尚美丝工作室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安排未取得有效健康合格证明从业人员从事直接为顾客服务工作</w:t>
            </w:r>
          </w:p>
        </w:tc>
        <w:tc>
          <w:tcPr>
            <w:tcW w:w="1380" w:type="dxa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给予警告，罚款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500元的行政处罚。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755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《公共场所卫生管理条例实施细则》第三十八条</w:t>
            </w:r>
          </w:p>
        </w:tc>
        <w:tc>
          <w:tcPr>
            <w:tcW w:w="2130" w:type="dxa"/>
            <w:vAlign w:val="center"/>
          </w:tcPr>
          <w:p>
            <w:pPr>
              <w:tabs>
                <w:tab w:val="left" w:pos="358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晋市卫公罚</w:t>
            </w:r>
          </w:p>
          <w:p>
            <w:pPr>
              <w:tabs>
                <w:tab w:val="left" w:pos="358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〔2022〕3号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2022.8.30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2023.8.30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陵川县宋鹏飞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口腔诊所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未给从事放射诊疗工作人员办理《放射工作人员证》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警告、罚款1000元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《放射工作人员职业健康管理办法》第三十九条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晋市卫放罚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〔2022〕1号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2022.9.13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2023.9.13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山西晋丰煤化工有限责任公司</w:t>
            </w:r>
          </w:p>
        </w:tc>
        <w:tc>
          <w:tcPr>
            <w:tcW w:w="2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该企业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放射作业场所最近一次职业危害因素定期检测报告开展时间为2021年9月，每年应当进行一次职业病危害因素定期检测。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违反了《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工作场所职业卫生管理规定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》第二十条第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二款</w:t>
            </w:r>
          </w:p>
        </w:tc>
        <w:tc>
          <w:tcPr>
            <w:tcW w:w="13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警告</w:t>
            </w:r>
          </w:p>
        </w:tc>
        <w:tc>
          <w:tcPr>
            <w:tcW w:w="295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《职业病防治法》第七十条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（二）项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工作场所职业卫生管理规定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第五十条第（四）项</w:t>
            </w:r>
          </w:p>
        </w:tc>
        <w:tc>
          <w:tcPr>
            <w:tcW w:w="21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202206002</w:t>
            </w:r>
          </w:p>
        </w:tc>
        <w:tc>
          <w:tcPr>
            <w:tcW w:w="150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2022.09.16</w:t>
            </w: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2023.09.16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  <w:t>晋能控股装备制造集团华昱能源化工山西有限责任公司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该公司未按规定进行三年一次的职业病危害现状评价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《中华人民共和国职业病防治法》第七十条第（二）项,《工作场所职业卫生管理规定》第五十条第（四）项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202206003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2.10.9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3.10.9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90D46C9"/>
    <w:rsid w:val="0C52051D"/>
    <w:rsid w:val="0C903659"/>
    <w:rsid w:val="0D2F4203"/>
    <w:rsid w:val="0DFD0385"/>
    <w:rsid w:val="0F2C742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6652EE0"/>
    <w:rsid w:val="27740289"/>
    <w:rsid w:val="298330BB"/>
    <w:rsid w:val="29D02DE4"/>
    <w:rsid w:val="39415AFD"/>
    <w:rsid w:val="3A1D4C3F"/>
    <w:rsid w:val="3A3D09E2"/>
    <w:rsid w:val="3A8C3597"/>
    <w:rsid w:val="3B8457B1"/>
    <w:rsid w:val="3CB32242"/>
    <w:rsid w:val="3E6A421D"/>
    <w:rsid w:val="3FAF7383"/>
    <w:rsid w:val="41762393"/>
    <w:rsid w:val="42DB0864"/>
    <w:rsid w:val="431C51F7"/>
    <w:rsid w:val="44A45B1A"/>
    <w:rsid w:val="45E15153"/>
    <w:rsid w:val="47D11C6F"/>
    <w:rsid w:val="48E268C6"/>
    <w:rsid w:val="4A3616BA"/>
    <w:rsid w:val="4DB22BB4"/>
    <w:rsid w:val="4E6E7258"/>
    <w:rsid w:val="4F9C7CEC"/>
    <w:rsid w:val="53652D5E"/>
    <w:rsid w:val="542D3E58"/>
    <w:rsid w:val="54B47A39"/>
    <w:rsid w:val="55186DD0"/>
    <w:rsid w:val="598D7787"/>
    <w:rsid w:val="5BD03789"/>
    <w:rsid w:val="64081528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6</TotalTime>
  <ScaleCrop>false</ScaleCrop>
  <LinksUpToDate>false</LinksUpToDate>
  <CharactersWithSpaces>634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孟彦梅</cp:lastModifiedBy>
  <cp:lastPrinted>2021-09-08T07:40:00Z</cp:lastPrinted>
  <dcterms:modified xsi:type="dcterms:W3CDTF">2022-10-19T08:07:54Z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