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《关于进一步优化承诺制“一本制”项目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节能手续办理的实施意见》政策解读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为全面深化承诺制“一本制”改革，持续优化我市营商环境，进一步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加快项目前期手续办理，提高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政府服务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效率，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经过充分对接和商讨，市行政审批服务管理局与市能源局联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合印发了《关于进一步优化承诺制“一本制”项目节能手续办理的实施意见》，现解读如下：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en-US" w:eastAsia="zh-CN" w:bidi="ar"/>
        </w:rPr>
        <w:t>一、适用范围：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实行“一本制”模式的年综合能耗1000吨标准煤以上、5000吨标准煤以下的项目。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二、优化举措：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建立节能审查事项能耗双控意见提前介入机制。行政审批部门委托的政府统一服务中介机构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负责节能评价和过程计算（简称节能简本），并对评价结论负责；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行政审批部门充分利用综合文本编制的时间，做好与能源主管部门的衔接工作；能源主管部门负责对符合条件的项目按时出具能耗双控意见。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三、优化流程：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一是提前介入，行政审批部门启动“一本制”项目后，应在综合文本编制时提前计算项目综合能耗值，形成项目节能简本，并将项目节能简本推送市能源局。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二是限时办理，市能源局在收到“一本制”项目的节能简本后15个工作日内完成审核，对符合条件的项目出具能耗双控意见。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三是联合会签，行政审批部门在出具审查意见前应征得市能源局同意，实行联合会签。</w:t>
      </w:r>
    </w:p>
    <w:p/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gwNmIwNzBmZDAwYzAyMjUwMGQ3YWE4YTg2NmViMzgifQ=="/>
  </w:docVars>
  <w:rsids>
    <w:rsidRoot w:val="00000000"/>
    <w:rsid w:val="35E57FC2"/>
    <w:rsid w:val="4F670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499</Words>
  <Characters>506</Characters>
  <Lines>0</Lines>
  <Paragraphs>0</Paragraphs>
  <TotalTime>1</TotalTime>
  <ScaleCrop>false</ScaleCrop>
  <LinksUpToDate>false</LinksUpToDate>
  <CharactersWithSpaces>506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2022-12-29T07:28:00Z</dcterms:created>
  <dc:creator>zw450</dc:creator>
  <cp:lastModifiedBy>常浩</cp:lastModifiedBy>
  <dcterms:modified xsi:type="dcterms:W3CDTF">2023-01-09T09:44:26Z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44C32E1481EE46749A1EF933E159267A</vt:lpwstr>
  </property>
</Properties>
</file>